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077E" w14:textId="77777777" w:rsidR="00EA3B1B" w:rsidRPr="00613055" w:rsidRDefault="00EA3B1B" w:rsidP="00EA3B1B">
      <w:pPr>
        <w:pStyle w:val="Header"/>
        <w:jc w:val="center"/>
        <w:rPr>
          <w:rFonts w:ascii="Avenir Next LT Pro" w:hAnsi="Avenir Next LT Pro"/>
          <w:color w:val="00755A"/>
          <w:sz w:val="24"/>
          <w:szCs w:val="24"/>
        </w:rPr>
      </w:pPr>
      <w:r w:rsidRPr="00613055">
        <w:rPr>
          <w:rFonts w:ascii="Avenir Next LT Pro" w:hAnsi="Avenir Next LT Pro"/>
          <w:b/>
          <w:color w:val="00755A"/>
          <w:sz w:val="24"/>
          <w:szCs w:val="24"/>
        </w:rPr>
        <w:t>Role Description &amp; Person Profile</w:t>
      </w:r>
    </w:p>
    <w:p w14:paraId="7C2CA42D" w14:textId="67B3249F" w:rsidR="00267CC4" w:rsidRDefault="00267CC4">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6296"/>
      </w:tblGrid>
      <w:tr w:rsidR="00867C88" w14:paraId="7C2CA430" w14:textId="77777777" w:rsidTr="4B400E7A">
        <w:trPr>
          <w:tblHeader/>
        </w:trPr>
        <w:tc>
          <w:tcPr>
            <w:tcW w:w="2812" w:type="dxa"/>
            <w:shd w:val="clear" w:color="auto" w:fill="E6E6E6"/>
            <w:tcMar>
              <w:top w:w="70" w:type="dxa"/>
              <w:left w:w="85" w:type="dxa"/>
              <w:bottom w:w="70" w:type="dxa"/>
              <w:right w:w="85" w:type="dxa"/>
            </w:tcMar>
          </w:tcPr>
          <w:p w14:paraId="7C2CA42E" w14:textId="77777777" w:rsidR="00867C88" w:rsidRPr="007402EF" w:rsidRDefault="00867C88" w:rsidP="00867C88">
            <w:pPr>
              <w:rPr>
                <w:b/>
                <w:bCs/>
              </w:rPr>
            </w:pPr>
            <w:r w:rsidRPr="007402EF">
              <w:rPr>
                <w:b/>
                <w:bCs/>
              </w:rPr>
              <w:t xml:space="preserve">Role </w:t>
            </w:r>
          </w:p>
        </w:tc>
        <w:tc>
          <w:tcPr>
            <w:tcW w:w="6475" w:type="dxa"/>
            <w:shd w:val="clear" w:color="auto" w:fill="E6E6E6"/>
            <w:tcMar>
              <w:top w:w="70" w:type="dxa"/>
              <w:left w:w="85" w:type="dxa"/>
              <w:bottom w:w="70" w:type="dxa"/>
              <w:right w:w="85" w:type="dxa"/>
            </w:tcMar>
          </w:tcPr>
          <w:p w14:paraId="7C2CA42F" w14:textId="6B4EE945" w:rsidR="00AC6E08" w:rsidRDefault="006845CA">
            <w:r>
              <w:rPr>
                <w:sz w:val="16"/>
              </w:rPr>
              <w:t>Group</w:t>
            </w:r>
            <w:r w:rsidR="00785954">
              <w:rPr>
                <w:sz w:val="16"/>
              </w:rPr>
              <w:t xml:space="preserve"> Reporting</w:t>
            </w:r>
            <w:r w:rsidR="007476B2">
              <w:rPr>
                <w:sz w:val="16"/>
              </w:rPr>
              <w:t>, Central Costs</w:t>
            </w:r>
            <w:r w:rsidR="00785954">
              <w:rPr>
                <w:sz w:val="16"/>
              </w:rPr>
              <w:t xml:space="preserve"> and Control</w:t>
            </w:r>
          </w:p>
        </w:tc>
      </w:tr>
      <w:tr w:rsidR="00867C88" w14:paraId="7C2CA433" w14:textId="77777777" w:rsidTr="4B400E7A">
        <w:trPr>
          <w:trHeight w:val="419"/>
        </w:trPr>
        <w:tc>
          <w:tcPr>
            <w:tcW w:w="2812" w:type="dxa"/>
            <w:tcMar>
              <w:top w:w="70" w:type="dxa"/>
              <w:left w:w="85" w:type="dxa"/>
              <w:bottom w:w="70" w:type="dxa"/>
              <w:right w:w="85" w:type="dxa"/>
            </w:tcMar>
          </w:tcPr>
          <w:p w14:paraId="7C2CA431" w14:textId="77777777" w:rsidR="00867C88" w:rsidRPr="007402EF" w:rsidRDefault="00267CC4" w:rsidP="00B71908">
            <w:pPr>
              <w:rPr>
                <w:b/>
                <w:bCs/>
              </w:rPr>
            </w:pPr>
            <w:r>
              <w:rPr>
                <w:b/>
                <w:bCs/>
              </w:rPr>
              <w:t>Job title</w:t>
            </w:r>
          </w:p>
        </w:tc>
        <w:tc>
          <w:tcPr>
            <w:tcW w:w="6475" w:type="dxa"/>
            <w:tcMar>
              <w:top w:w="70" w:type="dxa"/>
              <w:left w:w="85" w:type="dxa"/>
              <w:bottom w:w="70" w:type="dxa"/>
              <w:right w:w="85" w:type="dxa"/>
            </w:tcMar>
          </w:tcPr>
          <w:p w14:paraId="7C2CA432" w14:textId="01A2914D" w:rsidR="00AC6E08" w:rsidRDefault="00785954">
            <w:r>
              <w:rPr>
                <w:sz w:val="16"/>
              </w:rPr>
              <w:t xml:space="preserve">Group </w:t>
            </w:r>
            <w:r w:rsidR="00891B9F">
              <w:rPr>
                <w:sz w:val="16"/>
              </w:rPr>
              <w:t xml:space="preserve">Reporting and </w:t>
            </w:r>
            <w:r w:rsidR="0064396F">
              <w:rPr>
                <w:sz w:val="16"/>
              </w:rPr>
              <w:t>Central Costs Manager</w:t>
            </w:r>
          </w:p>
        </w:tc>
      </w:tr>
      <w:tr w:rsidR="00867C88" w14:paraId="7C2CA436" w14:textId="77777777" w:rsidTr="4B400E7A">
        <w:trPr>
          <w:trHeight w:val="423"/>
        </w:trPr>
        <w:tc>
          <w:tcPr>
            <w:tcW w:w="2812" w:type="dxa"/>
            <w:tcMar>
              <w:top w:w="70" w:type="dxa"/>
              <w:left w:w="85" w:type="dxa"/>
              <w:bottom w:w="70" w:type="dxa"/>
              <w:right w:w="85" w:type="dxa"/>
            </w:tcMar>
          </w:tcPr>
          <w:p w14:paraId="7C2CA434" w14:textId="77777777" w:rsidR="00267CC4" w:rsidRPr="007402EF" w:rsidRDefault="00867C88" w:rsidP="00B71908">
            <w:pPr>
              <w:rPr>
                <w:b/>
                <w:bCs/>
              </w:rPr>
            </w:pPr>
            <w:r>
              <w:rPr>
                <w:b/>
                <w:bCs/>
              </w:rPr>
              <w:t>Division</w:t>
            </w:r>
          </w:p>
        </w:tc>
        <w:tc>
          <w:tcPr>
            <w:tcW w:w="6475" w:type="dxa"/>
            <w:tcMar>
              <w:top w:w="70" w:type="dxa"/>
              <w:left w:w="85" w:type="dxa"/>
              <w:bottom w:w="70" w:type="dxa"/>
              <w:right w:w="85" w:type="dxa"/>
            </w:tcMar>
          </w:tcPr>
          <w:p w14:paraId="7C2CA435" w14:textId="36F855B3" w:rsidR="00AC6E08" w:rsidRDefault="00785954">
            <w:r>
              <w:rPr>
                <w:sz w:val="16"/>
              </w:rPr>
              <w:t>AB Agri</w:t>
            </w:r>
            <w:r w:rsidR="00F645DC">
              <w:rPr>
                <w:sz w:val="16"/>
              </w:rPr>
              <w:t xml:space="preserve"> – Central costs</w:t>
            </w:r>
          </w:p>
        </w:tc>
      </w:tr>
      <w:tr w:rsidR="00867C88" w14:paraId="7C2CA439" w14:textId="77777777" w:rsidTr="4B400E7A">
        <w:trPr>
          <w:trHeight w:val="427"/>
        </w:trPr>
        <w:tc>
          <w:tcPr>
            <w:tcW w:w="2812" w:type="dxa"/>
            <w:tcMar>
              <w:top w:w="70" w:type="dxa"/>
              <w:left w:w="85" w:type="dxa"/>
              <w:bottom w:w="70" w:type="dxa"/>
              <w:right w:w="85" w:type="dxa"/>
            </w:tcMar>
          </w:tcPr>
          <w:p w14:paraId="7C2CA437" w14:textId="77777777" w:rsidR="00867C88" w:rsidRPr="007402EF" w:rsidRDefault="00867C88" w:rsidP="00B71908">
            <w:pPr>
              <w:rPr>
                <w:b/>
                <w:bCs/>
              </w:rPr>
            </w:pPr>
            <w:r>
              <w:rPr>
                <w:b/>
                <w:bCs/>
              </w:rPr>
              <w:t>Department</w:t>
            </w:r>
          </w:p>
        </w:tc>
        <w:tc>
          <w:tcPr>
            <w:tcW w:w="6475" w:type="dxa"/>
            <w:tcMar>
              <w:top w:w="70" w:type="dxa"/>
              <w:left w:w="85" w:type="dxa"/>
              <w:bottom w:w="70" w:type="dxa"/>
              <w:right w:w="85" w:type="dxa"/>
            </w:tcMar>
          </w:tcPr>
          <w:p w14:paraId="7C2CA438" w14:textId="367D6DAA" w:rsidR="00AC6E08" w:rsidRDefault="00785954">
            <w:r>
              <w:rPr>
                <w:sz w:val="16"/>
              </w:rPr>
              <w:t>Group Finance</w:t>
            </w:r>
          </w:p>
        </w:tc>
      </w:tr>
      <w:tr w:rsidR="00867C88" w14:paraId="7C2CA43C" w14:textId="77777777" w:rsidTr="4B400E7A">
        <w:trPr>
          <w:trHeight w:val="395"/>
        </w:trPr>
        <w:tc>
          <w:tcPr>
            <w:tcW w:w="2812" w:type="dxa"/>
            <w:tcMar>
              <w:top w:w="70" w:type="dxa"/>
              <w:left w:w="85" w:type="dxa"/>
              <w:bottom w:w="70" w:type="dxa"/>
              <w:right w:w="85" w:type="dxa"/>
            </w:tcMar>
          </w:tcPr>
          <w:p w14:paraId="7C2CA43A" w14:textId="77777777" w:rsidR="00867C88" w:rsidRPr="007402EF" w:rsidRDefault="00867C88" w:rsidP="00B71908">
            <w:pPr>
              <w:rPr>
                <w:b/>
                <w:bCs/>
              </w:rPr>
            </w:pPr>
            <w:r>
              <w:rPr>
                <w:b/>
                <w:bCs/>
              </w:rPr>
              <w:t>Location</w:t>
            </w:r>
          </w:p>
        </w:tc>
        <w:tc>
          <w:tcPr>
            <w:tcW w:w="6475" w:type="dxa"/>
            <w:tcMar>
              <w:top w:w="70" w:type="dxa"/>
              <w:left w:w="85" w:type="dxa"/>
              <w:bottom w:w="70" w:type="dxa"/>
              <w:right w:w="85" w:type="dxa"/>
            </w:tcMar>
          </w:tcPr>
          <w:p w14:paraId="7C2CA43B" w14:textId="2B56733D" w:rsidR="00AC6E08" w:rsidRDefault="00A225ED">
            <w:r>
              <w:rPr>
                <w:sz w:val="16"/>
              </w:rPr>
              <w:t>Peterborough</w:t>
            </w:r>
            <w:r w:rsidR="006F542D">
              <w:rPr>
                <w:sz w:val="16"/>
              </w:rPr>
              <w:t xml:space="preserve"> (Flexible working with at least 2 days a week in office)</w:t>
            </w:r>
          </w:p>
        </w:tc>
      </w:tr>
      <w:tr w:rsidR="00867C88" w14:paraId="7C2CA444" w14:textId="77777777" w:rsidTr="4B400E7A">
        <w:tc>
          <w:tcPr>
            <w:tcW w:w="2812" w:type="dxa"/>
            <w:tcBorders>
              <w:top w:val="single" w:sz="4" w:space="0" w:color="auto"/>
              <w:left w:val="single" w:sz="4" w:space="0" w:color="auto"/>
              <w:bottom w:val="single" w:sz="4" w:space="0" w:color="auto"/>
              <w:right w:val="single" w:sz="4" w:space="0" w:color="auto"/>
            </w:tcBorders>
            <w:tcMar>
              <w:top w:w="70" w:type="dxa"/>
              <w:left w:w="85" w:type="dxa"/>
              <w:bottom w:w="70" w:type="dxa"/>
              <w:right w:w="85" w:type="dxa"/>
            </w:tcMar>
          </w:tcPr>
          <w:p w14:paraId="7C2CA43D" w14:textId="77777777" w:rsidR="00867C88" w:rsidRDefault="00867C88" w:rsidP="00B02600">
            <w:pPr>
              <w:rPr>
                <w:b/>
                <w:bCs/>
              </w:rPr>
            </w:pPr>
            <w:r>
              <w:rPr>
                <w:b/>
                <w:bCs/>
              </w:rPr>
              <w:t xml:space="preserve">Team Structure </w:t>
            </w:r>
          </w:p>
          <w:p w14:paraId="7C2CA43E" w14:textId="77777777" w:rsidR="00867C88" w:rsidRDefault="00867C88" w:rsidP="00B02600">
            <w:pPr>
              <w:rPr>
                <w:b/>
                <w:bCs/>
                <w:sz w:val="16"/>
                <w:szCs w:val="16"/>
              </w:rPr>
            </w:pPr>
            <w:r w:rsidRPr="00D149B1">
              <w:rPr>
                <w:bCs/>
                <w:sz w:val="16"/>
                <w:szCs w:val="16"/>
              </w:rPr>
              <w:t>Reports to, direct reports, etc</w:t>
            </w:r>
            <w:r w:rsidRPr="00867C88">
              <w:rPr>
                <w:b/>
                <w:bCs/>
                <w:sz w:val="16"/>
                <w:szCs w:val="16"/>
              </w:rPr>
              <w:t>.</w:t>
            </w:r>
          </w:p>
          <w:p w14:paraId="7C2CA43F" w14:textId="77777777" w:rsidR="00867C88" w:rsidRDefault="00867C88" w:rsidP="00B02600">
            <w:pPr>
              <w:rPr>
                <w:b/>
                <w:bCs/>
                <w:sz w:val="16"/>
                <w:szCs w:val="16"/>
              </w:rPr>
            </w:pPr>
          </w:p>
          <w:p w14:paraId="7C2CA440" w14:textId="77777777" w:rsidR="00867C88" w:rsidRPr="00867C88" w:rsidRDefault="00867C88" w:rsidP="00B02600">
            <w:pPr>
              <w:rPr>
                <w:b/>
                <w:bCs/>
                <w:sz w:val="16"/>
                <w:szCs w:val="16"/>
              </w:rPr>
            </w:pPr>
          </w:p>
        </w:tc>
        <w:tc>
          <w:tcPr>
            <w:tcW w:w="6475" w:type="dxa"/>
            <w:tcBorders>
              <w:top w:val="single" w:sz="4" w:space="0" w:color="auto"/>
              <w:left w:val="single" w:sz="4" w:space="0" w:color="auto"/>
              <w:bottom w:val="single" w:sz="4" w:space="0" w:color="auto"/>
              <w:right w:val="single" w:sz="4" w:space="0" w:color="auto"/>
            </w:tcBorders>
            <w:tcMar>
              <w:top w:w="70" w:type="dxa"/>
              <w:left w:w="85" w:type="dxa"/>
              <w:bottom w:w="70" w:type="dxa"/>
              <w:right w:w="85" w:type="dxa"/>
            </w:tcMar>
          </w:tcPr>
          <w:p w14:paraId="7C2CA441" w14:textId="77777777" w:rsidR="00AC6E08" w:rsidRDefault="00785954">
            <w:pPr>
              <w:spacing w:after="40"/>
            </w:pPr>
            <w:r>
              <w:rPr>
                <w:b/>
                <w:sz w:val="16"/>
              </w:rPr>
              <w:t xml:space="preserve">Reports to: </w:t>
            </w:r>
            <w:r>
              <w:rPr>
                <w:sz w:val="16"/>
              </w:rPr>
              <w:t>Group Finance Manager.</w:t>
            </w:r>
          </w:p>
          <w:p w14:paraId="7C2CA442" w14:textId="40440D07" w:rsidR="00AC6E08" w:rsidRDefault="00785954">
            <w:pPr>
              <w:spacing w:after="40"/>
            </w:pPr>
            <w:r>
              <w:rPr>
                <w:b/>
                <w:sz w:val="16"/>
              </w:rPr>
              <w:t xml:space="preserve">Direct reports: </w:t>
            </w:r>
            <w:r w:rsidR="00AD53C1">
              <w:rPr>
                <w:sz w:val="16"/>
              </w:rPr>
              <w:t>Management Accountant and Assistant Accountant (2 direct reports</w:t>
            </w:r>
            <w:r w:rsidR="003007A0">
              <w:rPr>
                <w:sz w:val="16"/>
              </w:rPr>
              <w:t>)</w:t>
            </w:r>
          </w:p>
          <w:p w14:paraId="7C2CA443" w14:textId="77777777" w:rsidR="00AC6E08" w:rsidRDefault="00785954">
            <w:pPr>
              <w:spacing w:after="40"/>
            </w:pPr>
            <w:r>
              <w:rPr>
                <w:b/>
                <w:sz w:val="16"/>
              </w:rPr>
              <w:t xml:space="preserve">Key working relationships: </w:t>
            </w:r>
            <w:r>
              <w:rPr>
                <w:sz w:val="16"/>
              </w:rPr>
              <w:t>ABF Group Finance, AB Agri head office and operating businesses, Finance Business Partners, operational finance teams, external auditors, tax advisers and consultants.</w:t>
            </w:r>
          </w:p>
        </w:tc>
      </w:tr>
    </w:tbl>
    <w:p w14:paraId="7C2CA445" w14:textId="77777777" w:rsidR="00867C88" w:rsidRDefault="00867C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6295"/>
      </w:tblGrid>
      <w:tr w:rsidR="0008456E" w14:paraId="7C2CA448" w14:textId="77777777" w:rsidTr="4B400E7A">
        <w:trPr>
          <w:tblHeader/>
        </w:trPr>
        <w:tc>
          <w:tcPr>
            <w:tcW w:w="2812" w:type="dxa"/>
            <w:shd w:val="clear" w:color="auto" w:fill="E6E6E6"/>
            <w:tcMar>
              <w:top w:w="70" w:type="dxa"/>
              <w:left w:w="85" w:type="dxa"/>
              <w:bottom w:w="70" w:type="dxa"/>
              <w:right w:w="85" w:type="dxa"/>
            </w:tcMar>
          </w:tcPr>
          <w:p w14:paraId="7C2CA446" w14:textId="77777777" w:rsidR="0008456E" w:rsidRPr="00947715" w:rsidRDefault="0008456E">
            <w:pPr>
              <w:rPr>
                <w:b/>
                <w:bCs/>
              </w:rPr>
            </w:pPr>
            <w:r w:rsidRPr="00947715">
              <w:rPr>
                <w:b/>
                <w:bCs/>
              </w:rPr>
              <w:t>Description</w:t>
            </w:r>
          </w:p>
        </w:tc>
        <w:tc>
          <w:tcPr>
            <w:tcW w:w="6475" w:type="dxa"/>
            <w:shd w:val="clear" w:color="auto" w:fill="E6E6E6"/>
            <w:tcMar>
              <w:top w:w="70" w:type="dxa"/>
              <w:left w:w="85" w:type="dxa"/>
              <w:bottom w:w="70" w:type="dxa"/>
              <w:right w:w="85" w:type="dxa"/>
            </w:tcMar>
          </w:tcPr>
          <w:p w14:paraId="7C2CA447" w14:textId="77777777" w:rsidR="0008456E" w:rsidRPr="00947715" w:rsidRDefault="0008456E">
            <w:pPr>
              <w:rPr>
                <w:b/>
                <w:bCs/>
              </w:rPr>
            </w:pPr>
          </w:p>
        </w:tc>
      </w:tr>
      <w:tr w:rsidR="005D3C69" w14:paraId="7C2CA450" w14:textId="77777777" w:rsidTr="4B400E7A">
        <w:tc>
          <w:tcPr>
            <w:tcW w:w="2812" w:type="dxa"/>
            <w:tcMar>
              <w:top w:w="70" w:type="dxa"/>
              <w:left w:w="85" w:type="dxa"/>
              <w:bottom w:w="70" w:type="dxa"/>
              <w:right w:w="85" w:type="dxa"/>
            </w:tcMar>
          </w:tcPr>
          <w:p w14:paraId="7C2CA449" w14:textId="77777777" w:rsidR="00267CC4" w:rsidRDefault="00267CC4">
            <w:pPr>
              <w:rPr>
                <w:b/>
                <w:bCs/>
              </w:rPr>
            </w:pPr>
          </w:p>
          <w:p w14:paraId="7C2CA44A" w14:textId="77777777" w:rsidR="005D3C69" w:rsidRDefault="00867C88">
            <w:pPr>
              <w:rPr>
                <w:b/>
                <w:bCs/>
              </w:rPr>
            </w:pPr>
            <w:r>
              <w:rPr>
                <w:b/>
                <w:bCs/>
              </w:rPr>
              <w:t xml:space="preserve">Impact Statement </w:t>
            </w:r>
          </w:p>
          <w:p w14:paraId="7C2CA44B" w14:textId="77777777" w:rsidR="00867C88" w:rsidRPr="00D149B1" w:rsidRDefault="00867C88">
            <w:pPr>
              <w:rPr>
                <w:bCs/>
                <w:sz w:val="16"/>
                <w:szCs w:val="16"/>
              </w:rPr>
            </w:pPr>
            <w:r w:rsidRPr="00D149B1">
              <w:rPr>
                <w:bCs/>
                <w:sz w:val="16"/>
                <w:szCs w:val="16"/>
              </w:rPr>
              <w:t xml:space="preserve">The contribution of the role to </w:t>
            </w:r>
            <w:r w:rsidR="00267CC4" w:rsidRPr="00D149B1">
              <w:rPr>
                <w:bCs/>
                <w:sz w:val="16"/>
                <w:szCs w:val="16"/>
              </w:rPr>
              <w:t>achieving</w:t>
            </w:r>
            <w:r w:rsidRPr="00D149B1">
              <w:rPr>
                <w:bCs/>
                <w:sz w:val="16"/>
                <w:szCs w:val="16"/>
              </w:rPr>
              <w:t xml:space="preserve"> the overall business objective. Span of impact. </w:t>
            </w:r>
          </w:p>
          <w:p w14:paraId="7C2CA44C" w14:textId="77777777" w:rsidR="00867C88" w:rsidRPr="00D149B1" w:rsidRDefault="00867C88">
            <w:pPr>
              <w:rPr>
                <w:bCs/>
                <w:sz w:val="16"/>
                <w:szCs w:val="16"/>
              </w:rPr>
            </w:pPr>
            <w:r w:rsidRPr="00D149B1">
              <w:rPr>
                <w:bCs/>
                <w:sz w:val="16"/>
                <w:szCs w:val="16"/>
              </w:rPr>
              <w:t>Main purpose, focus of the role.</w:t>
            </w:r>
          </w:p>
          <w:p w14:paraId="7C2CA44D" w14:textId="77777777" w:rsidR="00867C88" w:rsidRDefault="00867C88">
            <w:pPr>
              <w:rPr>
                <w:b/>
                <w:bCs/>
                <w:sz w:val="16"/>
                <w:szCs w:val="16"/>
              </w:rPr>
            </w:pPr>
          </w:p>
          <w:p w14:paraId="7C2CA44E" w14:textId="77777777" w:rsidR="00867C88" w:rsidRPr="00867C88" w:rsidRDefault="00867C88">
            <w:pPr>
              <w:rPr>
                <w:b/>
                <w:bCs/>
                <w:sz w:val="16"/>
                <w:szCs w:val="16"/>
              </w:rPr>
            </w:pPr>
          </w:p>
        </w:tc>
        <w:tc>
          <w:tcPr>
            <w:tcW w:w="6475" w:type="dxa"/>
            <w:tcMar>
              <w:top w:w="70" w:type="dxa"/>
              <w:left w:w="85" w:type="dxa"/>
              <w:bottom w:w="70" w:type="dxa"/>
              <w:right w:w="85" w:type="dxa"/>
            </w:tcMar>
          </w:tcPr>
          <w:p w14:paraId="7C2CA44F" w14:textId="77777777" w:rsidR="00AC6E08" w:rsidRDefault="00785954">
            <w:pPr>
              <w:spacing w:after="40"/>
            </w:pPr>
            <w:r>
              <w:rPr>
                <w:sz w:val="16"/>
              </w:rPr>
              <w:t>Deliver accurate, timely and well-controlled group financial reporting, central accounting, statutory compliance and governance across AB Agri. The role enables reliable decision making and external reporting, supports the effectiveness of Group Finance, and strengthens reporting processes and controls across AB Agri and Associated British Foods plc (ABF).</w:t>
            </w:r>
          </w:p>
        </w:tc>
      </w:tr>
      <w:tr w:rsidR="005D3C69" w14:paraId="7C2CA460" w14:textId="77777777" w:rsidTr="4B400E7A">
        <w:tc>
          <w:tcPr>
            <w:tcW w:w="2812" w:type="dxa"/>
            <w:tcMar>
              <w:top w:w="70" w:type="dxa"/>
              <w:left w:w="85" w:type="dxa"/>
              <w:bottom w:w="70" w:type="dxa"/>
              <w:right w:w="85" w:type="dxa"/>
            </w:tcMar>
          </w:tcPr>
          <w:p w14:paraId="7C2CA451" w14:textId="77777777" w:rsidR="00267CC4" w:rsidRDefault="00267CC4" w:rsidP="003B2220">
            <w:pPr>
              <w:rPr>
                <w:b/>
                <w:bCs/>
              </w:rPr>
            </w:pPr>
          </w:p>
          <w:p w14:paraId="7C2CA452" w14:textId="77777777" w:rsidR="005D3C69" w:rsidRDefault="00644CCE" w:rsidP="003B2220">
            <w:pPr>
              <w:rPr>
                <w:b/>
                <w:bCs/>
              </w:rPr>
            </w:pPr>
            <w:r>
              <w:rPr>
                <w:b/>
                <w:bCs/>
              </w:rPr>
              <w:t xml:space="preserve">Role </w:t>
            </w:r>
            <w:r w:rsidR="003F6B22">
              <w:rPr>
                <w:b/>
                <w:bCs/>
              </w:rPr>
              <w:t>O</w:t>
            </w:r>
            <w:r>
              <w:rPr>
                <w:b/>
                <w:bCs/>
              </w:rPr>
              <w:t xml:space="preserve">bjectives </w:t>
            </w:r>
          </w:p>
          <w:p w14:paraId="7C2CA453" w14:textId="77777777" w:rsidR="00867C88" w:rsidRPr="00D149B1" w:rsidRDefault="00644CCE" w:rsidP="003B2220">
            <w:pPr>
              <w:rPr>
                <w:sz w:val="16"/>
                <w:szCs w:val="16"/>
              </w:rPr>
            </w:pPr>
            <w:r>
              <w:rPr>
                <w:sz w:val="16"/>
                <w:szCs w:val="16"/>
              </w:rPr>
              <w:t>The key responsibilities and key accountabilities of role. (5 to 10 areas)</w:t>
            </w:r>
          </w:p>
          <w:p w14:paraId="7C2CA454" w14:textId="77777777" w:rsidR="00267CC4" w:rsidRDefault="00267CC4" w:rsidP="003B2220">
            <w:pPr>
              <w:rPr>
                <w:b/>
                <w:sz w:val="16"/>
                <w:szCs w:val="16"/>
              </w:rPr>
            </w:pPr>
          </w:p>
          <w:p w14:paraId="7C2CA455" w14:textId="77777777" w:rsidR="007528F9" w:rsidRDefault="007528F9" w:rsidP="003B2220">
            <w:pPr>
              <w:rPr>
                <w:b/>
                <w:sz w:val="16"/>
                <w:szCs w:val="16"/>
              </w:rPr>
            </w:pPr>
          </w:p>
          <w:p w14:paraId="7C2CA456" w14:textId="77777777" w:rsidR="007528F9" w:rsidRDefault="007528F9" w:rsidP="003B2220">
            <w:pPr>
              <w:rPr>
                <w:b/>
                <w:sz w:val="16"/>
                <w:szCs w:val="16"/>
              </w:rPr>
            </w:pPr>
          </w:p>
          <w:p w14:paraId="7C2CA457" w14:textId="77777777" w:rsidR="00867C88" w:rsidRDefault="00867C88" w:rsidP="003B2220"/>
          <w:p w14:paraId="7C2CA458" w14:textId="77777777" w:rsidR="00267CC4" w:rsidRPr="007402EF" w:rsidRDefault="00267CC4" w:rsidP="003B2220">
            <w:pPr>
              <w:rPr>
                <w:b/>
                <w:bCs/>
              </w:rPr>
            </w:pPr>
          </w:p>
        </w:tc>
        <w:tc>
          <w:tcPr>
            <w:tcW w:w="6475" w:type="dxa"/>
            <w:tcMar>
              <w:top w:w="70" w:type="dxa"/>
              <w:left w:w="85" w:type="dxa"/>
              <w:bottom w:w="70" w:type="dxa"/>
              <w:right w:w="85" w:type="dxa"/>
            </w:tcMar>
          </w:tcPr>
          <w:p w14:paraId="7C2CA459" w14:textId="77777777" w:rsidR="00AC6E08" w:rsidRDefault="00785954">
            <w:pPr>
              <w:spacing w:after="40"/>
              <w:ind w:left="245" w:hanging="187"/>
            </w:pPr>
            <w:r>
              <w:rPr>
                <w:sz w:val="15"/>
              </w:rPr>
              <w:t xml:space="preserve">• </w:t>
            </w:r>
            <w:r>
              <w:rPr>
                <w:b/>
                <w:sz w:val="15"/>
              </w:rPr>
              <w:t xml:space="preserve">Group reporting and consolidation: </w:t>
            </w:r>
            <w:r>
              <w:rPr>
                <w:sz w:val="15"/>
              </w:rPr>
              <w:t>manage period-end submissions to ABF, analyse Group financial results and act as a key contact with ABF Group Finance.</w:t>
            </w:r>
          </w:p>
          <w:p w14:paraId="7C2CA45A" w14:textId="77777777" w:rsidR="00AC6E08" w:rsidRDefault="00785954">
            <w:pPr>
              <w:spacing w:after="40"/>
              <w:ind w:left="245" w:hanging="187"/>
            </w:pPr>
            <w:r>
              <w:rPr>
                <w:sz w:val="15"/>
              </w:rPr>
              <w:t xml:space="preserve">• </w:t>
            </w:r>
            <w:r>
              <w:rPr>
                <w:b/>
                <w:sz w:val="15"/>
              </w:rPr>
              <w:t xml:space="preserve">Central financial accounting: </w:t>
            </w:r>
            <w:r>
              <w:rPr>
                <w:sz w:val="15"/>
              </w:rPr>
              <w:t>own month-end and year-end close processes for central costs and GTS, including management accounts, journals, accruals, prepayments, reconciliations and reporting packs.</w:t>
            </w:r>
          </w:p>
          <w:p w14:paraId="7C2CA45B" w14:textId="77777777" w:rsidR="00AC6E08" w:rsidRDefault="00785954">
            <w:pPr>
              <w:spacing w:after="40"/>
              <w:ind w:left="245" w:hanging="187"/>
            </w:pPr>
            <w:r>
              <w:rPr>
                <w:sz w:val="15"/>
              </w:rPr>
              <w:t xml:space="preserve">• </w:t>
            </w:r>
            <w:r>
              <w:rPr>
                <w:b/>
                <w:sz w:val="15"/>
              </w:rPr>
              <w:t xml:space="preserve">Management reporting and planning: </w:t>
            </w:r>
            <w:r>
              <w:rPr>
                <w:sz w:val="15"/>
              </w:rPr>
              <w:t>deliver reporting and variance analysis for central functions and support budgets and quarterly reforecasts.</w:t>
            </w:r>
          </w:p>
          <w:p w14:paraId="7C2CA45C" w14:textId="77777777" w:rsidR="00AC6E08" w:rsidRDefault="00785954">
            <w:pPr>
              <w:spacing w:after="40"/>
              <w:ind w:left="245" w:hanging="187"/>
            </w:pPr>
            <w:r>
              <w:rPr>
                <w:sz w:val="15"/>
              </w:rPr>
              <w:t xml:space="preserve">• </w:t>
            </w:r>
            <w:r>
              <w:rPr>
                <w:b/>
                <w:sz w:val="15"/>
              </w:rPr>
              <w:t xml:space="preserve">Statutory, tax and compliance reporting: </w:t>
            </w:r>
            <w:r>
              <w:rPr>
                <w:sz w:val="15"/>
              </w:rPr>
              <w:t>prepare statutory accounts, support tax computations, manage VAT reporting and coordinate Group tax and statutory returns, including PSA and ONS reporting.</w:t>
            </w:r>
          </w:p>
          <w:p w14:paraId="7C2CA45D" w14:textId="77777777" w:rsidR="00AC6E08" w:rsidRDefault="00785954">
            <w:pPr>
              <w:spacing w:after="40"/>
              <w:ind w:left="245" w:hanging="187"/>
            </w:pPr>
            <w:r>
              <w:rPr>
                <w:sz w:val="15"/>
              </w:rPr>
              <w:t xml:space="preserve">• </w:t>
            </w:r>
            <w:r>
              <w:rPr>
                <w:b/>
                <w:sz w:val="15"/>
              </w:rPr>
              <w:t xml:space="preserve">Audit coordination: </w:t>
            </w:r>
            <w:r>
              <w:rPr>
                <w:sz w:val="15"/>
              </w:rPr>
              <w:t>lead and coordinate internal and external audits, including preparation of deliverables and responses to audit queries.</w:t>
            </w:r>
          </w:p>
          <w:p w14:paraId="7C2CA45E" w14:textId="77777777" w:rsidR="00AC6E08" w:rsidRDefault="00785954">
            <w:pPr>
              <w:spacing w:after="40"/>
              <w:ind w:left="245" w:hanging="187"/>
            </w:pPr>
            <w:r>
              <w:rPr>
                <w:sz w:val="15"/>
              </w:rPr>
              <w:t xml:space="preserve">• </w:t>
            </w:r>
            <w:r>
              <w:rPr>
                <w:b/>
                <w:sz w:val="15"/>
              </w:rPr>
              <w:t xml:space="preserve">Technical support: </w:t>
            </w:r>
            <w:r>
              <w:rPr>
                <w:sz w:val="15"/>
              </w:rPr>
              <w:t>support hedge accounting, acquisitions, discontinued operations and integration activities, and provide technical accounting support to UK and overseas subsidiaries.</w:t>
            </w:r>
          </w:p>
          <w:p w14:paraId="7C2CA45F" w14:textId="77777777" w:rsidR="00AC6E08" w:rsidRDefault="00785954">
            <w:pPr>
              <w:spacing w:after="40"/>
              <w:ind w:left="245" w:hanging="187"/>
            </w:pPr>
            <w:r>
              <w:rPr>
                <w:sz w:val="15"/>
              </w:rPr>
              <w:t xml:space="preserve">• </w:t>
            </w:r>
            <w:r>
              <w:rPr>
                <w:b/>
                <w:sz w:val="15"/>
              </w:rPr>
              <w:t xml:space="preserve">Controls and improvement: </w:t>
            </w:r>
            <w:r>
              <w:rPr>
                <w:sz w:val="15"/>
              </w:rPr>
              <w:t>strengthen controls, consolidation processes and systems; oversee selected central finance administration; promote standardisation and develop junior colleagues where appropriate.</w:t>
            </w:r>
          </w:p>
        </w:tc>
      </w:tr>
      <w:tr w:rsidR="005D3C69" w14:paraId="7C2CA46B" w14:textId="77777777" w:rsidTr="4B400E7A">
        <w:trPr>
          <w:cantSplit/>
        </w:trPr>
        <w:tc>
          <w:tcPr>
            <w:tcW w:w="2812" w:type="dxa"/>
            <w:tcMar>
              <w:top w:w="70" w:type="dxa"/>
              <w:left w:w="85" w:type="dxa"/>
              <w:bottom w:w="70" w:type="dxa"/>
              <w:right w:w="85" w:type="dxa"/>
            </w:tcMar>
          </w:tcPr>
          <w:p w14:paraId="7C2CA461" w14:textId="77777777" w:rsidR="00267CC4" w:rsidRDefault="00267CC4">
            <w:pPr>
              <w:rPr>
                <w:b/>
                <w:bCs/>
              </w:rPr>
            </w:pPr>
          </w:p>
          <w:p w14:paraId="7C2CA462" w14:textId="77777777" w:rsidR="0008456E" w:rsidRDefault="00867C88">
            <w:pPr>
              <w:rPr>
                <w:b/>
                <w:bCs/>
              </w:rPr>
            </w:pPr>
            <w:r>
              <w:rPr>
                <w:b/>
                <w:bCs/>
              </w:rPr>
              <w:t xml:space="preserve">Key Stakeholders </w:t>
            </w:r>
          </w:p>
          <w:p w14:paraId="7C2CA463" w14:textId="77777777" w:rsidR="00867C88" w:rsidRDefault="00867C88">
            <w:pPr>
              <w:rPr>
                <w:bCs/>
                <w:sz w:val="16"/>
                <w:szCs w:val="16"/>
              </w:rPr>
            </w:pPr>
            <w:r w:rsidRPr="00D149B1">
              <w:rPr>
                <w:bCs/>
                <w:sz w:val="16"/>
                <w:szCs w:val="16"/>
              </w:rPr>
              <w:t xml:space="preserve">What are the challenges of the relationships, communication strategies required, etc </w:t>
            </w:r>
          </w:p>
          <w:p w14:paraId="7C2CA464" w14:textId="77777777" w:rsidR="004907E8" w:rsidRDefault="004907E8">
            <w:pPr>
              <w:rPr>
                <w:bCs/>
                <w:sz w:val="16"/>
                <w:szCs w:val="16"/>
              </w:rPr>
            </w:pPr>
          </w:p>
          <w:p w14:paraId="7C2CA465" w14:textId="77777777" w:rsidR="00554438" w:rsidRPr="004907E8" w:rsidRDefault="00554438">
            <w:pPr>
              <w:rPr>
                <w:bCs/>
                <w:sz w:val="16"/>
                <w:szCs w:val="16"/>
              </w:rPr>
            </w:pPr>
          </w:p>
        </w:tc>
        <w:tc>
          <w:tcPr>
            <w:tcW w:w="6475" w:type="dxa"/>
            <w:tcMar>
              <w:top w:w="70" w:type="dxa"/>
              <w:left w:w="85" w:type="dxa"/>
              <w:bottom w:w="70" w:type="dxa"/>
              <w:right w:w="85" w:type="dxa"/>
            </w:tcMar>
          </w:tcPr>
          <w:p w14:paraId="7C2CA466" w14:textId="77777777" w:rsidR="00AC6E08" w:rsidRDefault="00785954">
            <w:pPr>
              <w:spacing w:after="40"/>
              <w:ind w:left="245" w:hanging="187"/>
            </w:pPr>
            <w:r>
              <w:rPr>
                <w:sz w:val="15"/>
              </w:rPr>
              <w:t xml:space="preserve">• </w:t>
            </w:r>
            <w:r>
              <w:rPr>
                <w:b/>
                <w:sz w:val="15"/>
              </w:rPr>
              <w:t xml:space="preserve">ABF Group Finance: </w:t>
            </w:r>
            <w:r>
              <w:rPr>
                <w:sz w:val="15"/>
              </w:rPr>
              <w:t>provide accurate period-end submissions, analysis and clear responses on reporting requirements.</w:t>
            </w:r>
          </w:p>
          <w:p w14:paraId="7C2CA467" w14:textId="1BFFA02A" w:rsidR="00AC6E08" w:rsidRDefault="00785954">
            <w:pPr>
              <w:spacing w:after="40"/>
              <w:ind w:left="245" w:hanging="187"/>
            </w:pPr>
            <w:r>
              <w:rPr>
                <w:sz w:val="15"/>
              </w:rPr>
              <w:t xml:space="preserve">• </w:t>
            </w:r>
            <w:r>
              <w:rPr>
                <w:b/>
                <w:sz w:val="15"/>
              </w:rPr>
              <w:t>Group Finance Manager</w:t>
            </w:r>
            <w:r w:rsidR="00152AE5">
              <w:rPr>
                <w:b/>
                <w:sz w:val="15"/>
              </w:rPr>
              <w:t>, Business performance</w:t>
            </w:r>
            <w:r>
              <w:rPr>
                <w:b/>
                <w:sz w:val="15"/>
              </w:rPr>
              <w:t xml:space="preserve"> and central finance colleagues: </w:t>
            </w:r>
            <w:r>
              <w:rPr>
                <w:sz w:val="15"/>
              </w:rPr>
              <w:t>coordinate reporting, governance, close activities and continuous improvement.</w:t>
            </w:r>
          </w:p>
          <w:p w14:paraId="7C2CA468" w14:textId="77777777" w:rsidR="00AC6E08" w:rsidRDefault="00785954">
            <w:pPr>
              <w:spacing w:after="40"/>
              <w:ind w:left="245" w:hanging="187"/>
            </w:pPr>
            <w:r>
              <w:rPr>
                <w:sz w:val="15"/>
              </w:rPr>
              <w:t xml:space="preserve">• </w:t>
            </w:r>
            <w:r>
              <w:rPr>
                <w:b/>
                <w:sz w:val="15"/>
              </w:rPr>
              <w:t xml:space="preserve">AB Agri head office, central functions, GTS and operating businesses: </w:t>
            </w:r>
            <w:r>
              <w:rPr>
                <w:sz w:val="15"/>
              </w:rPr>
              <w:t>ensure high-quality data, consistent reporting and practical accounting support.</w:t>
            </w:r>
          </w:p>
          <w:p w14:paraId="7C2CA469" w14:textId="77777777" w:rsidR="00AC6E08" w:rsidRDefault="00785954">
            <w:pPr>
              <w:spacing w:after="40"/>
              <w:ind w:left="245" w:hanging="187"/>
            </w:pPr>
            <w:r>
              <w:rPr>
                <w:sz w:val="15"/>
              </w:rPr>
              <w:t xml:space="preserve">• </w:t>
            </w:r>
            <w:r>
              <w:rPr>
                <w:b/>
                <w:sz w:val="15"/>
              </w:rPr>
              <w:t xml:space="preserve">Finance Business Partners and operational finance teams: </w:t>
            </w:r>
            <w:r>
              <w:rPr>
                <w:sz w:val="15"/>
              </w:rPr>
              <w:t>maintain consistency and accuracy of financial information.</w:t>
            </w:r>
          </w:p>
          <w:p w14:paraId="7C2CA46A" w14:textId="77777777" w:rsidR="00AC6E08" w:rsidRDefault="00785954">
            <w:pPr>
              <w:spacing w:after="40"/>
              <w:ind w:left="245" w:hanging="187"/>
            </w:pPr>
            <w:r>
              <w:rPr>
                <w:sz w:val="15"/>
              </w:rPr>
              <w:t xml:space="preserve">• </w:t>
            </w:r>
            <w:r>
              <w:rPr>
                <w:b/>
                <w:sz w:val="15"/>
              </w:rPr>
              <w:t xml:space="preserve">External auditors, tax advisers and consultants: </w:t>
            </w:r>
            <w:r>
              <w:rPr>
                <w:sz w:val="15"/>
              </w:rPr>
              <w:t>manage clear, timely delivery of audit and compliance requirements.</w:t>
            </w:r>
          </w:p>
        </w:tc>
      </w:tr>
    </w:tbl>
    <w:p w14:paraId="7C2CA46C" w14:textId="77777777" w:rsidR="00531747" w:rsidRDefault="005317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34"/>
      </w:tblGrid>
      <w:tr w:rsidR="008D0623" w14:paraId="7C2CA46F" w14:textId="77777777" w:rsidTr="00EA3B1B">
        <w:trPr>
          <w:tblHeader/>
        </w:trPr>
        <w:tc>
          <w:tcPr>
            <w:tcW w:w="9061" w:type="dxa"/>
            <w:gridSpan w:val="2"/>
            <w:shd w:val="clear" w:color="auto" w:fill="E6E6E6"/>
            <w:tcMar>
              <w:top w:w="70" w:type="dxa"/>
              <w:left w:w="85" w:type="dxa"/>
              <w:bottom w:w="70" w:type="dxa"/>
              <w:right w:w="85" w:type="dxa"/>
            </w:tcMar>
          </w:tcPr>
          <w:p w14:paraId="7C2CA46D" w14:textId="77777777" w:rsidR="008D0623" w:rsidRPr="007402EF" w:rsidRDefault="008D0623">
            <w:pPr>
              <w:rPr>
                <w:b/>
              </w:rPr>
            </w:pPr>
            <w:r w:rsidRPr="007402EF">
              <w:rPr>
                <w:b/>
              </w:rPr>
              <w:t>Person Profile</w:t>
            </w:r>
          </w:p>
          <w:p w14:paraId="7C2CA46E" w14:textId="77777777" w:rsidR="008D0623" w:rsidRPr="00B70D7F" w:rsidRDefault="008D0623">
            <w:pPr>
              <w:rPr>
                <w:bCs/>
                <w:sz w:val="16"/>
                <w:szCs w:val="16"/>
              </w:rPr>
            </w:pPr>
            <w:r w:rsidRPr="00B70D7F">
              <w:rPr>
                <w:bCs/>
                <w:sz w:val="16"/>
                <w:szCs w:val="16"/>
              </w:rPr>
              <w:t>Consider</w:t>
            </w:r>
            <w:r w:rsidR="00B70D7F" w:rsidRPr="00B70D7F">
              <w:rPr>
                <w:bCs/>
                <w:sz w:val="16"/>
                <w:szCs w:val="16"/>
              </w:rPr>
              <w:t xml:space="preserve"> knowledge,</w:t>
            </w:r>
            <w:r w:rsidRPr="00B70D7F">
              <w:rPr>
                <w:bCs/>
                <w:sz w:val="16"/>
                <w:szCs w:val="16"/>
              </w:rPr>
              <w:t xml:space="preserve"> experience, any formal qualifications genuinely necessary or any key areas of knowledge.</w:t>
            </w:r>
          </w:p>
        </w:tc>
      </w:tr>
      <w:tr w:rsidR="008D0623" w14:paraId="7C2CA474" w14:textId="77777777" w:rsidTr="00EA3B1B">
        <w:trPr>
          <w:cantSplit/>
        </w:trPr>
        <w:tc>
          <w:tcPr>
            <w:tcW w:w="4527" w:type="dxa"/>
            <w:tcMar>
              <w:top w:w="70" w:type="dxa"/>
              <w:left w:w="85" w:type="dxa"/>
              <w:bottom w:w="70" w:type="dxa"/>
              <w:right w:w="85" w:type="dxa"/>
            </w:tcMar>
          </w:tcPr>
          <w:p w14:paraId="7C2CA470" w14:textId="77777777" w:rsidR="00F41028" w:rsidRDefault="00F41028" w:rsidP="5B3C60BD">
            <w:pPr>
              <w:jc w:val="center"/>
              <w:rPr>
                <w:b/>
                <w:bCs/>
                <w:sz w:val="20"/>
              </w:rPr>
            </w:pPr>
          </w:p>
          <w:p w14:paraId="7C2CA471" w14:textId="77777777" w:rsidR="00B70D7F" w:rsidRPr="00F41028" w:rsidRDefault="008D0623" w:rsidP="00F41028">
            <w:pPr>
              <w:jc w:val="center"/>
              <w:rPr>
                <w:b/>
                <w:bCs/>
                <w:sz w:val="20"/>
              </w:rPr>
            </w:pPr>
            <w:r w:rsidRPr="00B70D7F">
              <w:rPr>
                <w:b/>
                <w:bCs/>
                <w:sz w:val="20"/>
              </w:rPr>
              <w:t>Essential</w:t>
            </w:r>
          </w:p>
        </w:tc>
        <w:tc>
          <w:tcPr>
            <w:tcW w:w="4534" w:type="dxa"/>
            <w:tcMar>
              <w:top w:w="70" w:type="dxa"/>
              <w:left w:w="85" w:type="dxa"/>
              <w:bottom w:w="70" w:type="dxa"/>
              <w:right w:w="85" w:type="dxa"/>
            </w:tcMar>
          </w:tcPr>
          <w:p w14:paraId="7C2CA472" w14:textId="77777777" w:rsidR="00F41028" w:rsidRDefault="00F41028" w:rsidP="5B3C60BD">
            <w:pPr>
              <w:jc w:val="center"/>
              <w:rPr>
                <w:b/>
                <w:bCs/>
                <w:sz w:val="20"/>
              </w:rPr>
            </w:pPr>
          </w:p>
          <w:p w14:paraId="7C2CA473" w14:textId="77777777" w:rsidR="008D0623" w:rsidRPr="00B70D7F" w:rsidRDefault="008D0623" w:rsidP="5B3C60BD">
            <w:pPr>
              <w:jc w:val="center"/>
              <w:rPr>
                <w:b/>
                <w:bCs/>
                <w:sz w:val="20"/>
              </w:rPr>
            </w:pPr>
            <w:r w:rsidRPr="00B70D7F">
              <w:rPr>
                <w:b/>
                <w:bCs/>
                <w:sz w:val="20"/>
              </w:rPr>
              <w:t>Desirable</w:t>
            </w:r>
          </w:p>
        </w:tc>
      </w:tr>
      <w:tr w:rsidR="00B70D7F" w14:paraId="7C2CA47F" w14:textId="77777777" w:rsidTr="00EA3B1B">
        <w:trPr>
          <w:cantSplit/>
        </w:trPr>
        <w:tc>
          <w:tcPr>
            <w:tcW w:w="4527" w:type="dxa"/>
            <w:tcMar>
              <w:top w:w="70" w:type="dxa"/>
              <w:left w:w="85" w:type="dxa"/>
              <w:bottom w:w="70" w:type="dxa"/>
              <w:right w:w="85" w:type="dxa"/>
            </w:tcMar>
          </w:tcPr>
          <w:p w14:paraId="7C2CA475" w14:textId="189C4FA0" w:rsidR="00AC6E08" w:rsidRDefault="00785954">
            <w:pPr>
              <w:spacing w:after="40"/>
              <w:ind w:left="245" w:hanging="187"/>
            </w:pPr>
            <w:r>
              <w:rPr>
                <w:sz w:val="15"/>
              </w:rPr>
              <w:t>• Qualified accountant (ACA, ACCA or CIMA) or equivalent relevant experienc</w:t>
            </w:r>
            <w:r w:rsidR="00066BFE">
              <w:rPr>
                <w:sz w:val="15"/>
              </w:rPr>
              <w:t>e</w:t>
            </w:r>
            <w:r>
              <w:rPr>
                <w:sz w:val="15"/>
              </w:rPr>
              <w:t>.</w:t>
            </w:r>
          </w:p>
          <w:p w14:paraId="7C2CA476" w14:textId="77777777" w:rsidR="00AC6E08" w:rsidRDefault="00785954">
            <w:pPr>
              <w:spacing w:after="40"/>
              <w:ind w:left="245" w:hanging="187"/>
            </w:pPr>
            <w:r>
              <w:rPr>
                <w:sz w:val="15"/>
              </w:rPr>
              <w:t>• Strong experience in month-end and year-end close, management reporting and financial controls.</w:t>
            </w:r>
          </w:p>
          <w:p w14:paraId="7C2CA477" w14:textId="77777777" w:rsidR="00AC6E08" w:rsidRDefault="00785954">
            <w:pPr>
              <w:spacing w:after="40"/>
              <w:ind w:left="245" w:hanging="187"/>
              <w:rPr>
                <w:sz w:val="15"/>
              </w:rPr>
            </w:pPr>
            <w:r>
              <w:rPr>
                <w:sz w:val="15"/>
              </w:rPr>
              <w:t>• Knowledge of statutory accounts preparation, audit support and accounting policy compliance.</w:t>
            </w:r>
          </w:p>
          <w:p w14:paraId="7C2CA478" w14:textId="77777777" w:rsidR="00AC6E08" w:rsidRDefault="00785954">
            <w:pPr>
              <w:spacing w:after="40"/>
              <w:ind w:left="245" w:hanging="187"/>
            </w:pPr>
            <w:r>
              <w:rPr>
                <w:sz w:val="15"/>
              </w:rPr>
              <w:t>• Strong technical accounting, analytical and reconciliation skills, with high attention to detail.</w:t>
            </w:r>
          </w:p>
          <w:p w14:paraId="7C2CA479" w14:textId="77777777" w:rsidR="00AC6E08" w:rsidRDefault="00785954">
            <w:pPr>
              <w:spacing w:after="40"/>
              <w:ind w:left="245" w:hanging="187"/>
            </w:pPr>
            <w:r>
              <w:rPr>
                <w:sz w:val="15"/>
              </w:rPr>
              <w:t>• Ability to manage reporting deadlines and build effective relationships across a group environment.</w:t>
            </w:r>
          </w:p>
          <w:p w14:paraId="23A0AA94" w14:textId="77777777" w:rsidR="00AC6E08" w:rsidRDefault="00785954">
            <w:pPr>
              <w:spacing w:after="40"/>
              <w:ind w:left="245" w:hanging="187"/>
              <w:rPr>
                <w:sz w:val="15"/>
              </w:rPr>
            </w:pPr>
            <w:r>
              <w:rPr>
                <w:sz w:val="15"/>
              </w:rPr>
              <w:t>• A continuous improvement and control-focused mindset.</w:t>
            </w:r>
          </w:p>
          <w:p w14:paraId="7226DD34" w14:textId="739BCDD9" w:rsidR="00860AA5" w:rsidRDefault="00860AA5" w:rsidP="00860AA5">
            <w:pPr>
              <w:spacing w:after="40"/>
              <w:ind w:left="245" w:hanging="187"/>
              <w:rPr>
                <w:sz w:val="15"/>
              </w:rPr>
            </w:pPr>
            <w:r>
              <w:rPr>
                <w:sz w:val="15"/>
              </w:rPr>
              <w:t>• Experience of working with multiple ERP systems, including different versions of Microsoft Dynamics, with the ability to ensure consistent and accurate financial reporting across varied system environments.</w:t>
            </w:r>
          </w:p>
          <w:p w14:paraId="63A89961" w14:textId="77777777" w:rsidR="00C27819" w:rsidRDefault="00C27819" w:rsidP="00860AA5">
            <w:pPr>
              <w:spacing w:after="40"/>
              <w:ind w:left="245" w:hanging="187"/>
              <w:rPr>
                <w:sz w:val="15"/>
              </w:rPr>
            </w:pPr>
          </w:p>
          <w:p w14:paraId="7C2CA47A" w14:textId="266F02D8" w:rsidR="00860AA5" w:rsidRDefault="00860AA5" w:rsidP="00860AA5">
            <w:pPr>
              <w:spacing w:after="40"/>
            </w:pPr>
          </w:p>
        </w:tc>
        <w:tc>
          <w:tcPr>
            <w:tcW w:w="4534" w:type="dxa"/>
            <w:tcMar>
              <w:top w:w="70" w:type="dxa"/>
              <w:left w:w="85" w:type="dxa"/>
              <w:bottom w:w="70" w:type="dxa"/>
              <w:right w:w="85" w:type="dxa"/>
            </w:tcMar>
          </w:tcPr>
          <w:p w14:paraId="4C035EC0" w14:textId="77777777" w:rsidR="00EF60D2" w:rsidRDefault="00EF60D2" w:rsidP="00EF60D2">
            <w:pPr>
              <w:spacing w:after="40"/>
              <w:ind w:left="245" w:hanging="187"/>
            </w:pPr>
            <w:r>
              <w:rPr>
                <w:sz w:val="15"/>
              </w:rPr>
              <w:t>• Group consolidation and parent company reporting experience in a multi-entity organisation.</w:t>
            </w:r>
          </w:p>
          <w:p w14:paraId="7C2CA47C" w14:textId="08DB9E59" w:rsidR="00AC6E08" w:rsidRDefault="00785954">
            <w:pPr>
              <w:spacing w:after="40"/>
              <w:ind w:left="245" w:hanging="187"/>
            </w:pPr>
            <w:r>
              <w:rPr>
                <w:sz w:val="15"/>
              </w:rPr>
              <w:t>• Exposure to VAT, tax reporting, statutory returns and working with tax specialists.</w:t>
            </w:r>
          </w:p>
          <w:p w14:paraId="7C2CA47D" w14:textId="77777777" w:rsidR="00AC6E08" w:rsidRDefault="00785954">
            <w:pPr>
              <w:spacing w:after="40"/>
              <w:ind w:left="245" w:hanging="187"/>
            </w:pPr>
            <w:r>
              <w:rPr>
                <w:sz w:val="15"/>
              </w:rPr>
              <w:t>• Experience with hedge accounting, acquisitions, discontinued operations or integration accounting.</w:t>
            </w:r>
          </w:p>
          <w:p w14:paraId="7C2CA47E" w14:textId="77777777" w:rsidR="00AC6E08" w:rsidRDefault="00785954">
            <w:pPr>
              <w:spacing w:after="40"/>
              <w:ind w:left="245" w:hanging="187"/>
            </w:pPr>
            <w:r>
              <w:rPr>
                <w:sz w:val="15"/>
              </w:rPr>
              <w:t>• Experience of finance transformation, systems/process improvement or supporting junior team members.</w:t>
            </w:r>
          </w:p>
        </w:tc>
      </w:tr>
      <w:tr w:rsidR="00EA3B1B" w14:paraId="1E60F344" w14:textId="77777777" w:rsidTr="00EA3B1B">
        <w:trPr>
          <w:cantSplit/>
        </w:trPr>
        <w:tc>
          <w:tcPr>
            <w:tcW w:w="4527" w:type="dxa"/>
            <w:shd w:val="clear" w:color="auto" w:fill="F2F2F2" w:themeFill="background1" w:themeFillShade="F2"/>
            <w:tcMar>
              <w:top w:w="70" w:type="dxa"/>
              <w:left w:w="85" w:type="dxa"/>
              <w:bottom w:w="70" w:type="dxa"/>
              <w:right w:w="85" w:type="dxa"/>
            </w:tcMar>
          </w:tcPr>
          <w:p w14:paraId="11968749" w14:textId="77777777" w:rsidR="00EA3B1B" w:rsidRDefault="00EA3B1B" w:rsidP="00EA3B1B">
            <w:pPr>
              <w:spacing w:after="40"/>
              <w:ind w:left="245" w:hanging="187"/>
              <w:rPr>
                <w:b/>
                <w:bCs/>
                <w:szCs w:val="22"/>
              </w:rPr>
            </w:pPr>
            <w:r w:rsidRPr="00EA3B1B">
              <w:rPr>
                <w:b/>
                <w:bCs/>
                <w:szCs w:val="22"/>
              </w:rPr>
              <w:t>AB Agri High Performance Framework</w:t>
            </w:r>
            <w:r w:rsidRPr="00EA3B1B">
              <w:rPr>
                <w:b/>
                <w:bCs/>
                <w:szCs w:val="22"/>
              </w:rPr>
              <w:tab/>
            </w:r>
          </w:p>
          <w:p w14:paraId="20828B0B" w14:textId="77777777" w:rsidR="00EA3B1B" w:rsidRPr="00EA3B1B" w:rsidRDefault="00EA3B1B" w:rsidP="00EA3B1B">
            <w:pPr>
              <w:rPr>
                <w:szCs w:val="22"/>
              </w:rPr>
            </w:pPr>
          </w:p>
          <w:p w14:paraId="2C8F8CCB" w14:textId="77777777" w:rsidR="00EA3B1B" w:rsidRDefault="00EA3B1B" w:rsidP="00EA3B1B">
            <w:pPr>
              <w:rPr>
                <w:b/>
                <w:bCs/>
                <w:szCs w:val="22"/>
              </w:rPr>
            </w:pPr>
          </w:p>
          <w:p w14:paraId="4713D434" w14:textId="1A191FDD" w:rsidR="00EA3B1B" w:rsidRPr="00EA3B1B" w:rsidRDefault="00EA3B1B" w:rsidP="00EA3B1B">
            <w:pPr>
              <w:tabs>
                <w:tab w:val="left" w:pos="1367"/>
              </w:tabs>
              <w:rPr>
                <w:szCs w:val="22"/>
              </w:rPr>
            </w:pPr>
            <w:r>
              <w:rPr>
                <w:szCs w:val="22"/>
              </w:rPr>
              <w:tab/>
            </w:r>
          </w:p>
        </w:tc>
        <w:tc>
          <w:tcPr>
            <w:tcW w:w="4534" w:type="dxa"/>
            <w:tcMar>
              <w:top w:w="70" w:type="dxa"/>
              <w:left w:w="85" w:type="dxa"/>
              <w:bottom w:w="70" w:type="dxa"/>
              <w:right w:w="85" w:type="dxa"/>
            </w:tcMar>
          </w:tcPr>
          <w:p w14:paraId="5890ED70" w14:textId="2ADA4A7B" w:rsidR="00EA3B1B" w:rsidRPr="00EA3B1B" w:rsidRDefault="00EA3B1B" w:rsidP="00EA3B1B">
            <w:pPr>
              <w:spacing w:after="40"/>
              <w:ind w:left="245" w:hanging="187"/>
              <w:rPr>
                <w:sz w:val="15"/>
              </w:rPr>
            </w:pPr>
            <w:r w:rsidRPr="00EA3B1B">
              <w:rPr>
                <w:sz w:val="15"/>
              </w:rPr>
              <w:t>Our high-performance framework is a set of guiding</w:t>
            </w:r>
            <w:r>
              <w:rPr>
                <w:sz w:val="15"/>
              </w:rPr>
              <w:t xml:space="preserve"> </w:t>
            </w:r>
            <w:r w:rsidRPr="00EA3B1B">
              <w:rPr>
                <w:sz w:val="15"/>
              </w:rPr>
              <w:t>behaviours which have been created with people from across our businesses to enable great performance across the organisation.  The focus is on what you can do to demonstrate high performance in your role, as well as the behavioural inputs to assist you getting there.</w:t>
            </w:r>
          </w:p>
          <w:p w14:paraId="4AF1CEA0" w14:textId="77777777" w:rsidR="00EA3B1B" w:rsidRPr="00EA3B1B" w:rsidRDefault="00EA3B1B" w:rsidP="00EA3B1B">
            <w:pPr>
              <w:spacing w:after="40"/>
              <w:ind w:left="245" w:hanging="187"/>
              <w:rPr>
                <w:sz w:val="15"/>
              </w:rPr>
            </w:pPr>
          </w:p>
          <w:p w14:paraId="39909EBA" w14:textId="136824E8" w:rsidR="00EA3B1B" w:rsidRPr="00EA3B1B" w:rsidRDefault="00EA3B1B" w:rsidP="00EA3B1B">
            <w:pPr>
              <w:spacing w:after="40"/>
              <w:ind w:left="245" w:hanging="187"/>
              <w:rPr>
                <w:sz w:val="15"/>
              </w:rPr>
            </w:pPr>
            <w:r w:rsidRPr="00EA3B1B">
              <w:rPr>
                <w:sz w:val="15"/>
              </w:rPr>
              <w:t>•</w:t>
            </w:r>
            <w:r w:rsidRPr="00EA3B1B">
              <w:rPr>
                <w:sz w:val="15"/>
              </w:rPr>
              <w:tab/>
              <w:t>Pioneering – Curious, spirited and bold. We lead the right way.</w:t>
            </w:r>
          </w:p>
          <w:p w14:paraId="7C260DCC" w14:textId="77777777" w:rsidR="00EA3B1B" w:rsidRPr="00EA3B1B" w:rsidRDefault="00EA3B1B" w:rsidP="00EA3B1B">
            <w:pPr>
              <w:spacing w:after="40"/>
              <w:ind w:left="245" w:hanging="187"/>
              <w:rPr>
                <w:sz w:val="15"/>
              </w:rPr>
            </w:pPr>
            <w:r w:rsidRPr="00EA3B1B">
              <w:rPr>
                <w:sz w:val="15"/>
              </w:rPr>
              <w:t>•</w:t>
            </w:r>
            <w:r w:rsidRPr="00EA3B1B">
              <w:rPr>
                <w:sz w:val="15"/>
              </w:rPr>
              <w:tab/>
              <w:t>Excellence – We seek excellence in all that we do.</w:t>
            </w:r>
          </w:p>
          <w:p w14:paraId="5AEC4F35" w14:textId="1D5C920E" w:rsidR="00EA3B1B" w:rsidRPr="00EA3B1B" w:rsidRDefault="00EA3B1B" w:rsidP="00EA3B1B">
            <w:pPr>
              <w:spacing w:after="40"/>
              <w:ind w:left="245" w:hanging="187"/>
              <w:rPr>
                <w:sz w:val="15"/>
              </w:rPr>
            </w:pPr>
            <w:r w:rsidRPr="00EA3B1B">
              <w:rPr>
                <w:sz w:val="15"/>
              </w:rPr>
              <w:t>•</w:t>
            </w:r>
            <w:r w:rsidRPr="00EA3B1B">
              <w:rPr>
                <w:sz w:val="15"/>
              </w:rPr>
              <w:tab/>
              <w:t>Growth – We create ways for our people and customers to thrive. That’s how we keep making a difference.</w:t>
            </w:r>
          </w:p>
          <w:p w14:paraId="5EC09D57" w14:textId="77777777" w:rsidR="00EA3B1B" w:rsidRDefault="00EA3B1B" w:rsidP="00EF60D2">
            <w:pPr>
              <w:spacing w:after="40"/>
              <w:ind w:left="245" w:hanging="187"/>
              <w:rPr>
                <w:sz w:val="15"/>
              </w:rPr>
            </w:pPr>
          </w:p>
        </w:tc>
      </w:tr>
    </w:tbl>
    <w:p w14:paraId="7C2CA480" w14:textId="77777777" w:rsidR="00F41028" w:rsidRDefault="00F41028" w:rsidP="00D149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6758"/>
      </w:tblGrid>
      <w:tr w:rsidR="00F41028" w14:paraId="7C2CA488" w14:textId="77777777" w:rsidTr="009B1133">
        <w:trPr>
          <w:cantSplit/>
          <w:tblHeader/>
        </w:trPr>
        <w:tc>
          <w:tcPr>
            <w:tcW w:w="2344" w:type="dxa"/>
            <w:tcMar>
              <w:top w:w="70" w:type="dxa"/>
              <w:left w:w="85" w:type="dxa"/>
              <w:bottom w:w="70" w:type="dxa"/>
              <w:right w:w="85" w:type="dxa"/>
            </w:tcMar>
          </w:tcPr>
          <w:p w14:paraId="7C2CA481" w14:textId="77777777" w:rsidR="00F41028" w:rsidRDefault="00F41028" w:rsidP="007F79A1">
            <w:pPr>
              <w:rPr>
                <w:b/>
              </w:rPr>
            </w:pPr>
          </w:p>
          <w:p w14:paraId="7C2CA482" w14:textId="77777777" w:rsidR="00F41028" w:rsidRDefault="00F41028" w:rsidP="007F79A1">
            <w:pPr>
              <w:rPr>
                <w:b/>
              </w:rPr>
            </w:pPr>
            <w:r w:rsidRPr="007402EF">
              <w:rPr>
                <w:b/>
              </w:rPr>
              <w:t>Other</w:t>
            </w:r>
            <w:r>
              <w:rPr>
                <w:b/>
              </w:rPr>
              <w:t xml:space="preserve"> F</w:t>
            </w:r>
            <w:r w:rsidRPr="007402EF">
              <w:rPr>
                <w:b/>
              </w:rPr>
              <w:t xml:space="preserve">actors </w:t>
            </w:r>
          </w:p>
          <w:p w14:paraId="7C2CA483" w14:textId="77777777" w:rsidR="00F41028" w:rsidRDefault="00F41028" w:rsidP="007F79A1">
            <w:pPr>
              <w:rPr>
                <w:sz w:val="16"/>
                <w:szCs w:val="16"/>
              </w:rPr>
            </w:pPr>
            <w:r w:rsidRPr="00267CC4">
              <w:rPr>
                <w:sz w:val="16"/>
                <w:szCs w:val="16"/>
              </w:rPr>
              <w:t>Travel, shiftworking, HGV Licence, etc.</w:t>
            </w:r>
          </w:p>
          <w:p w14:paraId="7C2CA484" w14:textId="77777777" w:rsidR="00F41028" w:rsidRPr="00267CC4" w:rsidRDefault="00F41028" w:rsidP="007F79A1"/>
        </w:tc>
        <w:tc>
          <w:tcPr>
            <w:tcW w:w="6943" w:type="dxa"/>
            <w:tcMar>
              <w:top w:w="70" w:type="dxa"/>
              <w:left w:w="85" w:type="dxa"/>
              <w:bottom w:w="70" w:type="dxa"/>
              <w:right w:w="85" w:type="dxa"/>
            </w:tcMar>
          </w:tcPr>
          <w:p w14:paraId="7C2CA485" w14:textId="77777777" w:rsidR="00AC6E08" w:rsidRDefault="00785954">
            <w:pPr>
              <w:spacing w:after="40"/>
              <w:ind w:left="245" w:hanging="187"/>
            </w:pPr>
            <w:r>
              <w:rPr>
                <w:sz w:val="15"/>
              </w:rPr>
              <w:t>• Period-end, year-end, audit and statutory reporting deadlines may require flexibility in workload planning.</w:t>
            </w:r>
          </w:p>
          <w:p w14:paraId="7C2CA486" w14:textId="77777777" w:rsidR="00AC6E08" w:rsidRDefault="00785954">
            <w:pPr>
              <w:spacing w:after="40"/>
              <w:ind w:left="245" w:hanging="187"/>
            </w:pPr>
            <w:r>
              <w:rPr>
                <w:sz w:val="15"/>
              </w:rPr>
              <w:t>• Regular engagement with ABF, operating businesses, auditors and specialist advisers is expected.</w:t>
            </w:r>
          </w:p>
          <w:p w14:paraId="7C2CA487" w14:textId="79DE0ACF" w:rsidR="00AC6E08" w:rsidRDefault="00AC6E08">
            <w:pPr>
              <w:spacing w:after="40"/>
              <w:ind w:left="245" w:hanging="187"/>
            </w:pPr>
          </w:p>
        </w:tc>
      </w:tr>
    </w:tbl>
    <w:p w14:paraId="7C2CA489" w14:textId="77777777" w:rsidR="00B70D7F" w:rsidRDefault="00B70D7F" w:rsidP="00D149B1"/>
    <w:sectPr w:rsidR="00B70D7F" w:rsidSect="0008558E">
      <w:headerReference w:type="even" r:id="rId11"/>
      <w:headerReference w:type="default" r:id="rId12"/>
      <w:footerReference w:type="even" r:id="rId13"/>
      <w:footerReference w:type="default" r:id="rId14"/>
      <w:headerReference w:type="first" r:id="rId15"/>
      <w:footerReference w:type="first" r:id="rId16"/>
      <w:pgSz w:w="11907" w:h="16840" w:code="9"/>
      <w:pgMar w:top="288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427D" w14:textId="77777777" w:rsidR="007805C3" w:rsidRDefault="007805C3">
      <w:r>
        <w:separator/>
      </w:r>
    </w:p>
  </w:endnote>
  <w:endnote w:type="continuationSeparator" w:id="0">
    <w:p w14:paraId="08A1C074" w14:textId="77777777" w:rsidR="007805C3" w:rsidRDefault="007805C3">
      <w:r>
        <w:continuationSeparator/>
      </w:r>
    </w:p>
  </w:endnote>
  <w:endnote w:type="continuationNotice" w:id="1">
    <w:p w14:paraId="5C7FF09F" w14:textId="77777777" w:rsidR="007805C3" w:rsidRDefault="00780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7925" w14:textId="77777777" w:rsidR="002748C9" w:rsidRDefault="00274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A491" w14:textId="77777777" w:rsidR="00267CC4" w:rsidRDefault="0014050C" w:rsidP="0014050C">
    <w:pPr>
      <w:pStyle w:val="Footer"/>
      <w:tabs>
        <w:tab w:val="right" w:pos="9071"/>
      </w:tabs>
    </w:pPr>
    <w:r>
      <w:tab/>
    </w:r>
    <w:r>
      <w:tab/>
    </w:r>
    <w:r>
      <w:tab/>
    </w:r>
    <w:r w:rsidR="008F4245">
      <w:fldChar w:fldCharType="begin"/>
    </w:r>
    <w:r w:rsidR="008F4245">
      <w:instrText xml:space="preserve"> PAGE   \* MERGEFORMAT </w:instrText>
    </w:r>
    <w:r w:rsidR="008F4245">
      <w:fldChar w:fldCharType="separate"/>
    </w:r>
    <w:r w:rsidR="00945600">
      <w:rPr>
        <w:noProof/>
      </w:rPr>
      <w:t>2</w:t>
    </w:r>
    <w:r w:rsidR="008F4245">
      <w:rPr>
        <w:noProof/>
      </w:rPr>
      <w:fldChar w:fldCharType="end"/>
    </w:r>
  </w:p>
  <w:p w14:paraId="7C2CA492" w14:textId="1E002E2B" w:rsidR="00267CC4" w:rsidRDefault="005D1345">
    <w:r>
      <w:rPr>
        <w:color w:val="595959"/>
        <w:sz w:val="15"/>
      </w:rPr>
      <w:t>May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0B52" w14:textId="77777777" w:rsidR="002748C9" w:rsidRDefault="00274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4DC9" w14:textId="77777777" w:rsidR="007805C3" w:rsidRDefault="007805C3">
      <w:r>
        <w:separator/>
      </w:r>
    </w:p>
  </w:footnote>
  <w:footnote w:type="continuationSeparator" w:id="0">
    <w:p w14:paraId="19D98C74" w14:textId="77777777" w:rsidR="007805C3" w:rsidRDefault="007805C3">
      <w:r>
        <w:continuationSeparator/>
      </w:r>
    </w:p>
  </w:footnote>
  <w:footnote w:type="continuationNotice" w:id="1">
    <w:p w14:paraId="492CE2A1" w14:textId="77777777" w:rsidR="007805C3" w:rsidRDefault="00780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99F1" w14:textId="77777777" w:rsidR="002748C9" w:rsidRDefault="00274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A490" w14:textId="35BB190D" w:rsidR="004E2D6C" w:rsidRPr="00267CC4" w:rsidRDefault="00EA3B1B" w:rsidP="00DE5C4B">
    <w:pPr>
      <w:pStyle w:val="Header"/>
    </w:pPr>
    <w:r w:rsidRPr="006E3E25">
      <w:rPr>
        <w:rFonts w:ascii="Aptos" w:hAnsi="Aptos"/>
        <w:b/>
        <w:bCs/>
        <w:noProof/>
        <w:sz w:val="24"/>
        <w:szCs w:val="24"/>
      </w:rPr>
      <w:drawing>
        <wp:anchor distT="0" distB="0" distL="114300" distR="114300" simplePos="0" relativeHeight="251659264" behindDoc="0" locked="0" layoutInCell="1" allowOverlap="1" wp14:anchorId="65BCD92B" wp14:editId="0320429D">
          <wp:simplePos x="0" y="0"/>
          <wp:positionH relativeFrom="column">
            <wp:posOffset>4234070</wp:posOffset>
          </wp:positionH>
          <wp:positionV relativeFrom="paragraph">
            <wp:posOffset>105189</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1D33" w14:textId="77777777" w:rsidR="002748C9" w:rsidRDefault="00274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4F8"/>
    <w:multiLevelType w:val="hybridMultilevel"/>
    <w:tmpl w:val="4E0C7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151F27"/>
    <w:multiLevelType w:val="hybridMultilevel"/>
    <w:tmpl w:val="C54A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453DB"/>
    <w:multiLevelType w:val="hybridMultilevel"/>
    <w:tmpl w:val="6E54E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F35A71"/>
    <w:multiLevelType w:val="hybridMultilevel"/>
    <w:tmpl w:val="51A6B8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E644CC"/>
    <w:multiLevelType w:val="hybridMultilevel"/>
    <w:tmpl w:val="23AA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1B3C5B"/>
    <w:multiLevelType w:val="hybridMultilevel"/>
    <w:tmpl w:val="AACC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0442D"/>
    <w:multiLevelType w:val="hybridMultilevel"/>
    <w:tmpl w:val="5FA00B9A"/>
    <w:lvl w:ilvl="0" w:tplc="3FC26274">
      <w:numFmt w:val="bullet"/>
      <w:lvlText w:val="•"/>
      <w:lvlJc w:val="left"/>
      <w:pPr>
        <w:ind w:left="720" w:hanging="6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726D4"/>
    <w:multiLevelType w:val="hybridMultilevel"/>
    <w:tmpl w:val="970C4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9526F"/>
    <w:multiLevelType w:val="hybridMultilevel"/>
    <w:tmpl w:val="BD26FFC6"/>
    <w:lvl w:ilvl="0" w:tplc="3FC26274">
      <w:numFmt w:val="bullet"/>
      <w:lvlText w:val="•"/>
      <w:lvlJc w:val="left"/>
      <w:pPr>
        <w:ind w:left="720" w:hanging="6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F19BF"/>
    <w:multiLevelType w:val="hybridMultilevel"/>
    <w:tmpl w:val="771E3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C36F8"/>
    <w:multiLevelType w:val="hybridMultilevel"/>
    <w:tmpl w:val="EAE4D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1941E8"/>
    <w:multiLevelType w:val="hybridMultilevel"/>
    <w:tmpl w:val="3FA27EF6"/>
    <w:lvl w:ilvl="0" w:tplc="E4D084DA">
      <w:start w:val="1"/>
      <w:numFmt w:val="bullet"/>
      <w:lvlText w:val=""/>
      <w:lvlJc w:val="left"/>
      <w:pPr>
        <w:tabs>
          <w:tab w:val="num" w:pos="720"/>
        </w:tabs>
        <w:ind w:left="720" w:hanging="360"/>
      </w:pPr>
      <w:rPr>
        <w:rFonts w:ascii="Symbol" w:hAnsi="Symbol" w:hint="default"/>
        <w:sz w:val="20"/>
      </w:rPr>
    </w:lvl>
    <w:lvl w:ilvl="1" w:tplc="060AF34A" w:tentative="1">
      <w:start w:val="1"/>
      <w:numFmt w:val="bullet"/>
      <w:lvlText w:val=""/>
      <w:lvlJc w:val="left"/>
      <w:pPr>
        <w:tabs>
          <w:tab w:val="num" w:pos="1440"/>
        </w:tabs>
        <w:ind w:left="1440" w:hanging="360"/>
      </w:pPr>
      <w:rPr>
        <w:rFonts w:ascii="Symbol" w:hAnsi="Symbol" w:hint="default"/>
        <w:sz w:val="20"/>
      </w:rPr>
    </w:lvl>
    <w:lvl w:ilvl="2" w:tplc="F6081984" w:tentative="1">
      <w:start w:val="1"/>
      <w:numFmt w:val="bullet"/>
      <w:lvlText w:val=""/>
      <w:lvlJc w:val="left"/>
      <w:pPr>
        <w:tabs>
          <w:tab w:val="num" w:pos="2160"/>
        </w:tabs>
        <w:ind w:left="2160" w:hanging="360"/>
      </w:pPr>
      <w:rPr>
        <w:rFonts w:ascii="Symbol" w:hAnsi="Symbol" w:hint="default"/>
        <w:sz w:val="20"/>
      </w:rPr>
    </w:lvl>
    <w:lvl w:ilvl="3" w:tplc="54AEEC04" w:tentative="1">
      <w:start w:val="1"/>
      <w:numFmt w:val="bullet"/>
      <w:lvlText w:val=""/>
      <w:lvlJc w:val="left"/>
      <w:pPr>
        <w:tabs>
          <w:tab w:val="num" w:pos="2880"/>
        </w:tabs>
        <w:ind w:left="2880" w:hanging="360"/>
      </w:pPr>
      <w:rPr>
        <w:rFonts w:ascii="Symbol" w:hAnsi="Symbol" w:hint="default"/>
        <w:sz w:val="20"/>
      </w:rPr>
    </w:lvl>
    <w:lvl w:ilvl="4" w:tplc="03589A56" w:tentative="1">
      <w:start w:val="1"/>
      <w:numFmt w:val="bullet"/>
      <w:lvlText w:val=""/>
      <w:lvlJc w:val="left"/>
      <w:pPr>
        <w:tabs>
          <w:tab w:val="num" w:pos="3600"/>
        </w:tabs>
        <w:ind w:left="3600" w:hanging="360"/>
      </w:pPr>
      <w:rPr>
        <w:rFonts w:ascii="Symbol" w:hAnsi="Symbol" w:hint="default"/>
        <w:sz w:val="20"/>
      </w:rPr>
    </w:lvl>
    <w:lvl w:ilvl="5" w:tplc="597C488A" w:tentative="1">
      <w:start w:val="1"/>
      <w:numFmt w:val="bullet"/>
      <w:lvlText w:val=""/>
      <w:lvlJc w:val="left"/>
      <w:pPr>
        <w:tabs>
          <w:tab w:val="num" w:pos="4320"/>
        </w:tabs>
        <w:ind w:left="4320" w:hanging="360"/>
      </w:pPr>
      <w:rPr>
        <w:rFonts w:ascii="Symbol" w:hAnsi="Symbol" w:hint="default"/>
        <w:sz w:val="20"/>
      </w:rPr>
    </w:lvl>
    <w:lvl w:ilvl="6" w:tplc="6D327FF6" w:tentative="1">
      <w:start w:val="1"/>
      <w:numFmt w:val="bullet"/>
      <w:lvlText w:val=""/>
      <w:lvlJc w:val="left"/>
      <w:pPr>
        <w:tabs>
          <w:tab w:val="num" w:pos="5040"/>
        </w:tabs>
        <w:ind w:left="5040" w:hanging="360"/>
      </w:pPr>
      <w:rPr>
        <w:rFonts w:ascii="Symbol" w:hAnsi="Symbol" w:hint="default"/>
        <w:sz w:val="20"/>
      </w:rPr>
    </w:lvl>
    <w:lvl w:ilvl="7" w:tplc="7B16A124" w:tentative="1">
      <w:start w:val="1"/>
      <w:numFmt w:val="bullet"/>
      <w:lvlText w:val=""/>
      <w:lvlJc w:val="left"/>
      <w:pPr>
        <w:tabs>
          <w:tab w:val="num" w:pos="5760"/>
        </w:tabs>
        <w:ind w:left="5760" w:hanging="360"/>
      </w:pPr>
      <w:rPr>
        <w:rFonts w:ascii="Symbol" w:hAnsi="Symbol" w:hint="default"/>
        <w:sz w:val="20"/>
      </w:rPr>
    </w:lvl>
    <w:lvl w:ilvl="8" w:tplc="725A41F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99359B"/>
    <w:multiLevelType w:val="hybridMultilevel"/>
    <w:tmpl w:val="5E9CF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357C1"/>
    <w:multiLevelType w:val="hybridMultilevel"/>
    <w:tmpl w:val="B320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F21672"/>
    <w:multiLevelType w:val="hybridMultilevel"/>
    <w:tmpl w:val="A7D0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8576D"/>
    <w:multiLevelType w:val="hybridMultilevel"/>
    <w:tmpl w:val="5514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D4AE2"/>
    <w:multiLevelType w:val="hybridMultilevel"/>
    <w:tmpl w:val="2D72E5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E1818"/>
    <w:multiLevelType w:val="hybridMultilevel"/>
    <w:tmpl w:val="0134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626BF"/>
    <w:multiLevelType w:val="hybridMultilevel"/>
    <w:tmpl w:val="6090D4F6"/>
    <w:lvl w:ilvl="0" w:tplc="3FC26274">
      <w:numFmt w:val="bullet"/>
      <w:lvlText w:val="•"/>
      <w:lvlJc w:val="left"/>
      <w:pPr>
        <w:ind w:left="720" w:hanging="660"/>
      </w:pPr>
      <w:rPr>
        <w:rFonts w:ascii="Century Gothic" w:eastAsia="Times New Roman" w:hAnsi="Century Gothic"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524F7283"/>
    <w:multiLevelType w:val="hybridMultilevel"/>
    <w:tmpl w:val="9D52C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B2213E"/>
    <w:multiLevelType w:val="hybridMultilevel"/>
    <w:tmpl w:val="963E5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4C63AA"/>
    <w:multiLevelType w:val="hybridMultilevel"/>
    <w:tmpl w:val="9B7A46E2"/>
    <w:lvl w:ilvl="0" w:tplc="45AEAF8A">
      <w:start w:val="1"/>
      <w:numFmt w:val="bullet"/>
      <w:lvlText w:val=""/>
      <w:lvlJc w:val="left"/>
      <w:pPr>
        <w:tabs>
          <w:tab w:val="num" w:pos="720"/>
        </w:tabs>
        <w:ind w:left="720" w:hanging="360"/>
      </w:pPr>
      <w:rPr>
        <w:rFonts w:ascii="Symbol" w:hAnsi="Symbol" w:hint="default"/>
        <w:sz w:val="20"/>
      </w:rPr>
    </w:lvl>
    <w:lvl w:ilvl="1" w:tplc="C57486DC" w:tentative="1">
      <w:start w:val="1"/>
      <w:numFmt w:val="bullet"/>
      <w:lvlText w:val=""/>
      <w:lvlJc w:val="left"/>
      <w:pPr>
        <w:tabs>
          <w:tab w:val="num" w:pos="1440"/>
        </w:tabs>
        <w:ind w:left="1440" w:hanging="360"/>
      </w:pPr>
      <w:rPr>
        <w:rFonts w:ascii="Symbol" w:hAnsi="Symbol" w:hint="default"/>
        <w:sz w:val="20"/>
      </w:rPr>
    </w:lvl>
    <w:lvl w:ilvl="2" w:tplc="1302A534" w:tentative="1">
      <w:start w:val="1"/>
      <w:numFmt w:val="bullet"/>
      <w:lvlText w:val=""/>
      <w:lvlJc w:val="left"/>
      <w:pPr>
        <w:tabs>
          <w:tab w:val="num" w:pos="2160"/>
        </w:tabs>
        <w:ind w:left="2160" w:hanging="360"/>
      </w:pPr>
      <w:rPr>
        <w:rFonts w:ascii="Symbol" w:hAnsi="Symbol" w:hint="default"/>
        <w:sz w:val="20"/>
      </w:rPr>
    </w:lvl>
    <w:lvl w:ilvl="3" w:tplc="595692AE" w:tentative="1">
      <w:start w:val="1"/>
      <w:numFmt w:val="bullet"/>
      <w:lvlText w:val=""/>
      <w:lvlJc w:val="left"/>
      <w:pPr>
        <w:tabs>
          <w:tab w:val="num" w:pos="2880"/>
        </w:tabs>
        <w:ind w:left="2880" w:hanging="360"/>
      </w:pPr>
      <w:rPr>
        <w:rFonts w:ascii="Symbol" w:hAnsi="Symbol" w:hint="default"/>
        <w:sz w:val="20"/>
      </w:rPr>
    </w:lvl>
    <w:lvl w:ilvl="4" w:tplc="89588E44" w:tentative="1">
      <w:start w:val="1"/>
      <w:numFmt w:val="bullet"/>
      <w:lvlText w:val=""/>
      <w:lvlJc w:val="left"/>
      <w:pPr>
        <w:tabs>
          <w:tab w:val="num" w:pos="3600"/>
        </w:tabs>
        <w:ind w:left="3600" w:hanging="360"/>
      </w:pPr>
      <w:rPr>
        <w:rFonts w:ascii="Symbol" w:hAnsi="Symbol" w:hint="default"/>
        <w:sz w:val="20"/>
      </w:rPr>
    </w:lvl>
    <w:lvl w:ilvl="5" w:tplc="719E521E" w:tentative="1">
      <w:start w:val="1"/>
      <w:numFmt w:val="bullet"/>
      <w:lvlText w:val=""/>
      <w:lvlJc w:val="left"/>
      <w:pPr>
        <w:tabs>
          <w:tab w:val="num" w:pos="4320"/>
        </w:tabs>
        <w:ind w:left="4320" w:hanging="360"/>
      </w:pPr>
      <w:rPr>
        <w:rFonts w:ascii="Symbol" w:hAnsi="Symbol" w:hint="default"/>
        <w:sz w:val="20"/>
      </w:rPr>
    </w:lvl>
    <w:lvl w:ilvl="6" w:tplc="DBD04DC2" w:tentative="1">
      <w:start w:val="1"/>
      <w:numFmt w:val="bullet"/>
      <w:lvlText w:val=""/>
      <w:lvlJc w:val="left"/>
      <w:pPr>
        <w:tabs>
          <w:tab w:val="num" w:pos="5040"/>
        </w:tabs>
        <w:ind w:left="5040" w:hanging="360"/>
      </w:pPr>
      <w:rPr>
        <w:rFonts w:ascii="Symbol" w:hAnsi="Symbol" w:hint="default"/>
        <w:sz w:val="20"/>
      </w:rPr>
    </w:lvl>
    <w:lvl w:ilvl="7" w:tplc="5A12DBFE" w:tentative="1">
      <w:start w:val="1"/>
      <w:numFmt w:val="bullet"/>
      <w:lvlText w:val=""/>
      <w:lvlJc w:val="left"/>
      <w:pPr>
        <w:tabs>
          <w:tab w:val="num" w:pos="5760"/>
        </w:tabs>
        <w:ind w:left="5760" w:hanging="360"/>
      </w:pPr>
      <w:rPr>
        <w:rFonts w:ascii="Symbol" w:hAnsi="Symbol" w:hint="default"/>
        <w:sz w:val="20"/>
      </w:rPr>
    </w:lvl>
    <w:lvl w:ilvl="8" w:tplc="4092AD7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35525B"/>
    <w:multiLevelType w:val="hybridMultilevel"/>
    <w:tmpl w:val="4D0E7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ED0C80"/>
    <w:multiLevelType w:val="hybridMultilevel"/>
    <w:tmpl w:val="73BC55CC"/>
    <w:lvl w:ilvl="0" w:tplc="3FC26274">
      <w:numFmt w:val="bullet"/>
      <w:lvlText w:val="•"/>
      <w:lvlJc w:val="left"/>
      <w:pPr>
        <w:ind w:left="780" w:hanging="660"/>
      </w:pPr>
      <w:rPr>
        <w:rFonts w:ascii="Century Gothic" w:eastAsia="Times New Roman" w:hAnsi="Century Gothic"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5D9735D"/>
    <w:multiLevelType w:val="hybridMultilevel"/>
    <w:tmpl w:val="4F528A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A1706F"/>
    <w:multiLevelType w:val="hybridMultilevel"/>
    <w:tmpl w:val="0630D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563846">
    <w:abstractNumId w:val="4"/>
  </w:num>
  <w:num w:numId="2" w16cid:durableId="944506202">
    <w:abstractNumId w:val="3"/>
  </w:num>
  <w:num w:numId="3" w16cid:durableId="1701780017">
    <w:abstractNumId w:val="1"/>
  </w:num>
  <w:num w:numId="4" w16cid:durableId="342321864">
    <w:abstractNumId w:val="0"/>
  </w:num>
  <w:num w:numId="5" w16cid:durableId="68116684">
    <w:abstractNumId w:val="6"/>
  </w:num>
  <w:num w:numId="6" w16cid:durableId="1065185977">
    <w:abstractNumId w:val="18"/>
  </w:num>
  <w:num w:numId="7" w16cid:durableId="620842677">
    <w:abstractNumId w:val="27"/>
  </w:num>
  <w:num w:numId="8" w16cid:durableId="722366234">
    <w:abstractNumId w:val="22"/>
  </w:num>
  <w:num w:numId="9" w16cid:durableId="1245795553">
    <w:abstractNumId w:val="11"/>
  </w:num>
  <w:num w:numId="10" w16cid:durableId="1396780490">
    <w:abstractNumId w:val="7"/>
  </w:num>
  <w:num w:numId="11" w16cid:durableId="96219603">
    <w:abstractNumId w:val="16"/>
  </w:num>
  <w:num w:numId="12" w16cid:durableId="1379279499">
    <w:abstractNumId w:val="21"/>
  </w:num>
  <w:num w:numId="13" w16cid:durableId="982277618">
    <w:abstractNumId w:val="2"/>
  </w:num>
  <w:num w:numId="14" w16cid:durableId="1841848171">
    <w:abstractNumId w:val="19"/>
  </w:num>
  <w:num w:numId="15" w16cid:durableId="1855612882">
    <w:abstractNumId w:val="24"/>
  </w:num>
  <w:num w:numId="16" w16cid:durableId="1332758197">
    <w:abstractNumId w:val="26"/>
  </w:num>
  <w:num w:numId="17" w16cid:durableId="1160972078">
    <w:abstractNumId w:val="5"/>
  </w:num>
  <w:num w:numId="18" w16cid:durableId="325668622">
    <w:abstractNumId w:val="12"/>
  </w:num>
  <w:num w:numId="19" w16cid:durableId="59834434">
    <w:abstractNumId w:val="23"/>
  </w:num>
  <w:num w:numId="20" w16cid:durableId="1577670885">
    <w:abstractNumId w:val="13"/>
  </w:num>
  <w:num w:numId="21" w16cid:durableId="159780365">
    <w:abstractNumId w:val="17"/>
  </w:num>
  <w:num w:numId="22" w16cid:durableId="1906212055">
    <w:abstractNumId w:val="15"/>
  </w:num>
  <w:num w:numId="23" w16cid:durableId="848983315">
    <w:abstractNumId w:val="20"/>
  </w:num>
  <w:num w:numId="24" w16cid:durableId="2127842638">
    <w:abstractNumId w:val="25"/>
  </w:num>
  <w:num w:numId="25" w16cid:durableId="2047951140">
    <w:abstractNumId w:val="8"/>
  </w:num>
  <w:num w:numId="26" w16cid:durableId="965962591">
    <w:abstractNumId w:val="10"/>
  </w:num>
  <w:num w:numId="27" w16cid:durableId="1338656524">
    <w:abstractNumId w:val="14"/>
  </w:num>
  <w:num w:numId="28" w16cid:durableId="1949971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69"/>
    <w:rsid w:val="00000CD6"/>
    <w:rsid w:val="000037FA"/>
    <w:rsid w:val="00005405"/>
    <w:rsid w:val="000060AF"/>
    <w:rsid w:val="00006DEE"/>
    <w:rsid w:val="000101DD"/>
    <w:rsid w:val="0002760B"/>
    <w:rsid w:val="00030EB4"/>
    <w:rsid w:val="00031E76"/>
    <w:rsid w:val="00037387"/>
    <w:rsid w:val="00037E07"/>
    <w:rsid w:val="00041C72"/>
    <w:rsid w:val="000457BA"/>
    <w:rsid w:val="00065A9D"/>
    <w:rsid w:val="00066BFE"/>
    <w:rsid w:val="00072792"/>
    <w:rsid w:val="00082A00"/>
    <w:rsid w:val="000841A4"/>
    <w:rsid w:val="0008456E"/>
    <w:rsid w:val="0008558E"/>
    <w:rsid w:val="00086401"/>
    <w:rsid w:val="00090F7B"/>
    <w:rsid w:val="00091015"/>
    <w:rsid w:val="00095406"/>
    <w:rsid w:val="000A1887"/>
    <w:rsid w:val="000A206C"/>
    <w:rsid w:val="000B4590"/>
    <w:rsid w:val="000B67DB"/>
    <w:rsid w:val="000C14E7"/>
    <w:rsid w:val="000C306F"/>
    <w:rsid w:val="000C597A"/>
    <w:rsid w:val="000C74DC"/>
    <w:rsid w:val="000D0417"/>
    <w:rsid w:val="000D4A8E"/>
    <w:rsid w:val="000E2718"/>
    <w:rsid w:val="000E4707"/>
    <w:rsid w:val="000E7946"/>
    <w:rsid w:val="000F70C1"/>
    <w:rsid w:val="00101C5F"/>
    <w:rsid w:val="001027BF"/>
    <w:rsid w:val="00103E04"/>
    <w:rsid w:val="00110BF6"/>
    <w:rsid w:val="00115E18"/>
    <w:rsid w:val="001203CF"/>
    <w:rsid w:val="00122308"/>
    <w:rsid w:val="001250D7"/>
    <w:rsid w:val="00126700"/>
    <w:rsid w:val="00132DFE"/>
    <w:rsid w:val="0014050C"/>
    <w:rsid w:val="00141C62"/>
    <w:rsid w:val="001431F2"/>
    <w:rsid w:val="0015233C"/>
    <w:rsid w:val="00152AE5"/>
    <w:rsid w:val="00153B0A"/>
    <w:rsid w:val="001567AB"/>
    <w:rsid w:val="001615DF"/>
    <w:rsid w:val="0016713A"/>
    <w:rsid w:val="0017006E"/>
    <w:rsid w:val="00183DAC"/>
    <w:rsid w:val="00186BE2"/>
    <w:rsid w:val="00186FC1"/>
    <w:rsid w:val="00190861"/>
    <w:rsid w:val="001909C0"/>
    <w:rsid w:val="001A5801"/>
    <w:rsid w:val="001A766F"/>
    <w:rsid w:val="001B6F18"/>
    <w:rsid w:val="001C17F7"/>
    <w:rsid w:val="001C2D10"/>
    <w:rsid w:val="001C4A0E"/>
    <w:rsid w:val="001F018E"/>
    <w:rsid w:val="001F6E65"/>
    <w:rsid w:val="001F6FA8"/>
    <w:rsid w:val="001F7B13"/>
    <w:rsid w:val="002113B8"/>
    <w:rsid w:val="002132DC"/>
    <w:rsid w:val="002205A0"/>
    <w:rsid w:val="00222305"/>
    <w:rsid w:val="00227518"/>
    <w:rsid w:val="002373EB"/>
    <w:rsid w:val="00242698"/>
    <w:rsid w:val="00265103"/>
    <w:rsid w:val="00267CC4"/>
    <w:rsid w:val="002748C9"/>
    <w:rsid w:val="00277C5E"/>
    <w:rsid w:val="00280091"/>
    <w:rsid w:val="00284E12"/>
    <w:rsid w:val="002A03A0"/>
    <w:rsid w:val="002A31CE"/>
    <w:rsid w:val="002A335F"/>
    <w:rsid w:val="002A3D54"/>
    <w:rsid w:val="002B0D54"/>
    <w:rsid w:val="002B6306"/>
    <w:rsid w:val="002C5316"/>
    <w:rsid w:val="002C5617"/>
    <w:rsid w:val="002F4F55"/>
    <w:rsid w:val="003007A0"/>
    <w:rsid w:val="00304CDE"/>
    <w:rsid w:val="00310546"/>
    <w:rsid w:val="00313CC4"/>
    <w:rsid w:val="003153A3"/>
    <w:rsid w:val="00320E1D"/>
    <w:rsid w:val="0032532B"/>
    <w:rsid w:val="003261BF"/>
    <w:rsid w:val="00336520"/>
    <w:rsid w:val="00340883"/>
    <w:rsid w:val="00345FCE"/>
    <w:rsid w:val="003464EB"/>
    <w:rsid w:val="00351AF8"/>
    <w:rsid w:val="003561C4"/>
    <w:rsid w:val="00357176"/>
    <w:rsid w:val="00357BE2"/>
    <w:rsid w:val="0036614C"/>
    <w:rsid w:val="00366336"/>
    <w:rsid w:val="00372C34"/>
    <w:rsid w:val="00374F4F"/>
    <w:rsid w:val="003849A9"/>
    <w:rsid w:val="00391EAE"/>
    <w:rsid w:val="003A08F0"/>
    <w:rsid w:val="003A5A81"/>
    <w:rsid w:val="003B2220"/>
    <w:rsid w:val="003C2F59"/>
    <w:rsid w:val="003C6BE0"/>
    <w:rsid w:val="003D0C24"/>
    <w:rsid w:val="003D112C"/>
    <w:rsid w:val="003D1BFB"/>
    <w:rsid w:val="003E6367"/>
    <w:rsid w:val="003F2484"/>
    <w:rsid w:val="003F2FD2"/>
    <w:rsid w:val="003F4665"/>
    <w:rsid w:val="003F6B22"/>
    <w:rsid w:val="00412595"/>
    <w:rsid w:val="0041790E"/>
    <w:rsid w:val="00423B4F"/>
    <w:rsid w:val="00426D72"/>
    <w:rsid w:val="00440D8D"/>
    <w:rsid w:val="00444F21"/>
    <w:rsid w:val="00456D18"/>
    <w:rsid w:val="00461A8E"/>
    <w:rsid w:val="00465BBD"/>
    <w:rsid w:val="00484E1B"/>
    <w:rsid w:val="00486A70"/>
    <w:rsid w:val="004878C4"/>
    <w:rsid w:val="004907E8"/>
    <w:rsid w:val="004A1EF6"/>
    <w:rsid w:val="004B3C39"/>
    <w:rsid w:val="004D11D0"/>
    <w:rsid w:val="004D2CA6"/>
    <w:rsid w:val="004D2E40"/>
    <w:rsid w:val="004D505B"/>
    <w:rsid w:val="004E0F61"/>
    <w:rsid w:val="004E2D6C"/>
    <w:rsid w:val="004F024F"/>
    <w:rsid w:val="004F067C"/>
    <w:rsid w:val="004F4E1F"/>
    <w:rsid w:val="00510D1B"/>
    <w:rsid w:val="005110C8"/>
    <w:rsid w:val="00516246"/>
    <w:rsid w:val="005220E7"/>
    <w:rsid w:val="00531747"/>
    <w:rsid w:val="0054059C"/>
    <w:rsid w:val="0055353F"/>
    <w:rsid w:val="00554438"/>
    <w:rsid w:val="00556247"/>
    <w:rsid w:val="00560D8A"/>
    <w:rsid w:val="00564BF2"/>
    <w:rsid w:val="00571792"/>
    <w:rsid w:val="00573BBC"/>
    <w:rsid w:val="00574541"/>
    <w:rsid w:val="005750E0"/>
    <w:rsid w:val="005840B5"/>
    <w:rsid w:val="00585952"/>
    <w:rsid w:val="00585963"/>
    <w:rsid w:val="00592A28"/>
    <w:rsid w:val="00595855"/>
    <w:rsid w:val="0059637D"/>
    <w:rsid w:val="005A2D97"/>
    <w:rsid w:val="005A5396"/>
    <w:rsid w:val="005A5A64"/>
    <w:rsid w:val="005A6B28"/>
    <w:rsid w:val="005B5230"/>
    <w:rsid w:val="005C0EE2"/>
    <w:rsid w:val="005C28F1"/>
    <w:rsid w:val="005D1345"/>
    <w:rsid w:val="005D3C69"/>
    <w:rsid w:val="005E1E07"/>
    <w:rsid w:val="005E243A"/>
    <w:rsid w:val="005F6332"/>
    <w:rsid w:val="005F6EA5"/>
    <w:rsid w:val="006070B4"/>
    <w:rsid w:val="00613E87"/>
    <w:rsid w:val="0061492C"/>
    <w:rsid w:val="0063457E"/>
    <w:rsid w:val="006348BB"/>
    <w:rsid w:val="0063579F"/>
    <w:rsid w:val="00635A8C"/>
    <w:rsid w:val="00640D2E"/>
    <w:rsid w:val="0064396F"/>
    <w:rsid w:val="00644CCE"/>
    <w:rsid w:val="006467D7"/>
    <w:rsid w:val="00650E1C"/>
    <w:rsid w:val="00651614"/>
    <w:rsid w:val="00652DAF"/>
    <w:rsid w:val="0067082C"/>
    <w:rsid w:val="006845CA"/>
    <w:rsid w:val="006861E4"/>
    <w:rsid w:val="00695C05"/>
    <w:rsid w:val="00697561"/>
    <w:rsid w:val="006A339C"/>
    <w:rsid w:val="006A3CB3"/>
    <w:rsid w:val="006B3E8D"/>
    <w:rsid w:val="006B63DF"/>
    <w:rsid w:val="006C02DC"/>
    <w:rsid w:val="006C0FA5"/>
    <w:rsid w:val="006C1154"/>
    <w:rsid w:val="006C29A8"/>
    <w:rsid w:val="006C3C87"/>
    <w:rsid w:val="006D3D9B"/>
    <w:rsid w:val="006D4C0A"/>
    <w:rsid w:val="006D76D0"/>
    <w:rsid w:val="006E09CB"/>
    <w:rsid w:val="006E2015"/>
    <w:rsid w:val="006E7DC6"/>
    <w:rsid w:val="006F4F39"/>
    <w:rsid w:val="006F542D"/>
    <w:rsid w:val="006F6A45"/>
    <w:rsid w:val="007026C5"/>
    <w:rsid w:val="00702A1B"/>
    <w:rsid w:val="00703CBA"/>
    <w:rsid w:val="00704F09"/>
    <w:rsid w:val="0071003F"/>
    <w:rsid w:val="0071448A"/>
    <w:rsid w:val="007231F6"/>
    <w:rsid w:val="0073400A"/>
    <w:rsid w:val="007347FF"/>
    <w:rsid w:val="00735E2C"/>
    <w:rsid w:val="007402D0"/>
    <w:rsid w:val="007402EF"/>
    <w:rsid w:val="007423CD"/>
    <w:rsid w:val="00745F5A"/>
    <w:rsid w:val="007476B2"/>
    <w:rsid w:val="007528F9"/>
    <w:rsid w:val="00755672"/>
    <w:rsid w:val="007664C3"/>
    <w:rsid w:val="00770A75"/>
    <w:rsid w:val="007745FD"/>
    <w:rsid w:val="00777235"/>
    <w:rsid w:val="007805C3"/>
    <w:rsid w:val="00784DE2"/>
    <w:rsid w:val="00785954"/>
    <w:rsid w:val="00791596"/>
    <w:rsid w:val="00792A25"/>
    <w:rsid w:val="00795F39"/>
    <w:rsid w:val="007979D6"/>
    <w:rsid w:val="007A00CF"/>
    <w:rsid w:val="007B6CE5"/>
    <w:rsid w:val="007C2D70"/>
    <w:rsid w:val="007E41E1"/>
    <w:rsid w:val="007E6095"/>
    <w:rsid w:val="007F1541"/>
    <w:rsid w:val="007F1A0E"/>
    <w:rsid w:val="0080620A"/>
    <w:rsid w:val="0083023B"/>
    <w:rsid w:val="00831696"/>
    <w:rsid w:val="00836DDB"/>
    <w:rsid w:val="008375CE"/>
    <w:rsid w:val="00842F4C"/>
    <w:rsid w:val="00845FAB"/>
    <w:rsid w:val="008468B1"/>
    <w:rsid w:val="00857E46"/>
    <w:rsid w:val="00860AA5"/>
    <w:rsid w:val="00860D6F"/>
    <w:rsid w:val="00866F84"/>
    <w:rsid w:val="00867C88"/>
    <w:rsid w:val="008710A0"/>
    <w:rsid w:val="00871119"/>
    <w:rsid w:val="0087142A"/>
    <w:rsid w:val="0087551E"/>
    <w:rsid w:val="00877CDE"/>
    <w:rsid w:val="008904D0"/>
    <w:rsid w:val="00891B9F"/>
    <w:rsid w:val="00893163"/>
    <w:rsid w:val="008A2C15"/>
    <w:rsid w:val="008B7F2B"/>
    <w:rsid w:val="008D030D"/>
    <w:rsid w:val="008D0623"/>
    <w:rsid w:val="008D264B"/>
    <w:rsid w:val="008D5C9D"/>
    <w:rsid w:val="008E5D2A"/>
    <w:rsid w:val="008E7F8C"/>
    <w:rsid w:val="008F4245"/>
    <w:rsid w:val="008F583B"/>
    <w:rsid w:val="008F7D31"/>
    <w:rsid w:val="00900D87"/>
    <w:rsid w:val="009025E3"/>
    <w:rsid w:val="00904222"/>
    <w:rsid w:val="009046C3"/>
    <w:rsid w:val="00906A15"/>
    <w:rsid w:val="00907752"/>
    <w:rsid w:val="00910D45"/>
    <w:rsid w:val="00914861"/>
    <w:rsid w:val="009224CB"/>
    <w:rsid w:val="00923900"/>
    <w:rsid w:val="009265D7"/>
    <w:rsid w:val="00927272"/>
    <w:rsid w:val="00940E83"/>
    <w:rsid w:val="00945600"/>
    <w:rsid w:val="00946115"/>
    <w:rsid w:val="0094708B"/>
    <w:rsid w:val="00947715"/>
    <w:rsid w:val="00951548"/>
    <w:rsid w:val="009610BB"/>
    <w:rsid w:val="009730E9"/>
    <w:rsid w:val="00974AD7"/>
    <w:rsid w:val="00975A99"/>
    <w:rsid w:val="009853F8"/>
    <w:rsid w:val="00987AF1"/>
    <w:rsid w:val="009911D4"/>
    <w:rsid w:val="00991531"/>
    <w:rsid w:val="009A2071"/>
    <w:rsid w:val="009B3547"/>
    <w:rsid w:val="009B36AD"/>
    <w:rsid w:val="009B3820"/>
    <w:rsid w:val="009C1C3C"/>
    <w:rsid w:val="009C20D6"/>
    <w:rsid w:val="009D213F"/>
    <w:rsid w:val="009D3262"/>
    <w:rsid w:val="009F3D1C"/>
    <w:rsid w:val="00A0594B"/>
    <w:rsid w:val="00A13EDD"/>
    <w:rsid w:val="00A219EB"/>
    <w:rsid w:val="00A225ED"/>
    <w:rsid w:val="00A23E8E"/>
    <w:rsid w:val="00A251A0"/>
    <w:rsid w:val="00A27EC3"/>
    <w:rsid w:val="00A40B1E"/>
    <w:rsid w:val="00A44AFF"/>
    <w:rsid w:val="00A60CA1"/>
    <w:rsid w:val="00A676BD"/>
    <w:rsid w:val="00A829A3"/>
    <w:rsid w:val="00A8322B"/>
    <w:rsid w:val="00A9645C"/>
    <w:rsid w:val="00A96B8C"/>
    <w:rsid w:val="00A96D0C"/>
    <w:rsid w:val="00AA251A"/>
    <w:rsid w:val="00AA5C9E"/>
    <w:rsid w:val="00AB613C"/>
    <w:rsid w:val="00AB7DD2"/>
    <w:rsid w:val="00AC301B"/>
    <w:rsid w:val="00AC3BC6"/>
    <w:rsid w:val="00AC4CA6"/>
    <w:rsid w:val="00AC6E08"/>
    <w:rsid w:val="00AD53C1"/>
    <w:rsid w:val="00AE2A56"/>
    <w:rsid w:val="00AE39D7"/>
    <w:rsid w:val="00AE4DC0"/>
    <w:rsid w:val="00AE64B0"/>
    <w:rsid w:val="00AF46DE"/>
    <w:rsid w:val="00AF79EE"/>
    <w:rsid w:val="00B02600"/>
    <w:rsid w:val="00B029E5"/>
    <w:rsid w:val="00B0426B"/>
    <w:rsid w:val="00B0448B"/>
    <w:rsid w:val="00B12304"/>
    <w:rsid w:val="00B2617C"/>
    <w:rsid w:val="00B27A81"/>
    <w:rsid w:val="00B37AE7"/>
    <w:rsid w:val="00B435E6"/>
    <w:rsid w:val="00B52F24"/>
    <w:rsid w:val="00B60401"/>
    <w:rsid w:val="00B70D7F"/>
    <w:rsid w:val="00B71908"/>
    <w:rsid w:val="00B7283B"/>
    <w:rsid w:val="00B733AC"/>
    <w:rsid w:val="00B772B9"/>
    <w:rsid w:val="00B7767C"/>
    <w:rsid w:val="00B81938"/>
    <w:rsid w:val="00B90BAC"/>
    <w:rsid w:val="00B91BC3"/>
    <w:rsid w:val="00B944C0"/>
    <w:rsid w:val="00B94A5C"/>
    <w:rsid w:val="00BA0319"/>
    <w:rsid w:val="00BA5069"/>
    <w:rsid w:val="00BB0A57"/>
    <w:rsid w:val="00BB49F0"/>
    <w:rsid w:val="00BB529C"/>
    <w:rsid w:val="00BC27B8"/>
    <w:rsid w:val="00BC38AE"/>
    <w:rsid w:val="00BC3B2D"/>
    <w:rsid w:val="00BC49D6"/>
    <w:rsid w:val="00BC4C94"/>
    <w:rsid w:val="00BF41A9"/>
    <w:rsid w:val="00BF7AEA"/>
    <w:rsid w:val="00C062A1"/>
    <w:rsid w:val="00C12195"/>
    <w:rsid w:val="00C124DE"/>
    <w:rsid w:val="00C13E22"/>
    <w:rsid w:val="00C16125"/>
    <w:rsid w:val="00C21B17"/>
    <w:rsid w:val="00C23435"/>
    <w:rsid w:val="00C23597"/>
    <w:rsid w:val="00C23CAB"/>
    <w:rsid w:val="00C255E8"/>
    <w:rsid w:val="00C25855"/>
    <w:rsid w:val="00C27819"/>
    <w:rsid w:val="00C3679C"/>
    <w:rsid w:val="00C430FA"/>
    <w:rsid w:val="00C4447C"/>
    <w:rsid w:val="00C57DB0"/>
    <w:rsid w:val="00C66D9F"/>
    <w:rsid w:val="00C70456"/>
    <w:rsid w:val="00C70DBB"/>
    <w:rsid w:val="00C91650"/>
    <w:rsid w:val="00CA236F"/>
    <w:rsid w:val="00CA4AF3"/>
    <w:rsid w:val="00CB7D9B"/>
    <w:rsid w:val="00CC41F7"/>
    <w:rsid w:val="00CC4DA3"/>
    <w:rsid w:val="00CD4C8D"/>
    <w:rsid w:val="00CD54A3"/>
    <w:rsid w:val="00CE1580"/>
    <w:rsid w:val="00CE1605"/>
    <w:rsid w:val="00CE5A8F"/>
    <w:rsid w:val="00CE6BD7"/>
    <w:rsid w:val="00CE7060"/>
    <w:rsid w:val="00CF49C3"/>
    <w:rsid w:val="00CF4D0E"/>
    <w:rsid w:val="00CF5318"/>
    <w:rsid w:val="00D04920"/>
    <w:rsid w:val="00D06A02"/>
    <w:rsid w:val="00D10D90"/>
    <w:rsid w:val="00D12B18"/>
    <w:rsid w:val="00D149B1"/>
    <w:rsid w:val="00D15C97"/>
    <w:rsid w:val="00D370EA"/>
    <w:rsid w:val="00D41A71"/>
    <w:rsid w:val="00D44211"/>
    <w:rsid w:val="00D44CE4"/>
    <w:rsid w:val="00D63792"/>
    <w:rsid w:val="00D73637"/>
    <w:rsid w:val="00D80948"/>
    <w:rsid w:val="00D8747C"/>
    <w:rsid w:val="00D90C9F"/>
    <w:rsid w:val="00D93A88"/>
    <w:rsid w:val="00D954D7"/>
    <w:rsid w:val="00DA1B07"/>
    <w:rsid w:val="00DA3DC8"/>
    <w:rsid w:val="00DA66B8"/>
    <w:rsid w:val="00DA6C0D"/>
    <w:rsid w:val="00DB7E34"/>
    <w:rsid w:val="00DC34F8"/>
    <w:rsid w:val="00DC47BC"/>
    <w:rsid w:val="00DC6E6C"/>
    <w:rsid w:val="00DD53DF"/>
    <w:rsid w:val="00DE5C4B"/>
    <w:rsid w:val="00DE6629"/>
    <w:rsid w:val="00DF2138"/>
    <w:rsid w:val="00E011CB"/>
    <w:rsid w:val="00E035C1"/>
    <w:rsid w:val="00E176FD"/>
    <w:rsid w:val="00E26A65"/>
    <w:rsid w:val="00E469B7"/>
    <w:rsid w:val="00E51C2C"/>
    <w:rsid w:val="00E5529A"/>
    <w:rsid w:val="00E56DAE"/>
    <w:rsid w:val="00E57031"/>
    <w:rsid w:val="00E6178B"/>
    <w:rsid w:val="00E621C9"/>
    <w:rsid w:val="00E65C44"/>
    <w:rsid w:val="00E73FCD"/>
    <w:rsid w:val="00E81E01"/>
    <w:rsid w:val="00E944B5"/>
    <w:rsid w:val="00E9543D"/>
    <w:rsid w:val="00EA3B1B"/>
    <w:rsid w:val="00EA4667"/>
    <w:rsid w:val="00EB746F"/>
    <w:rsid w:val="00EC383D"/>
    <w:rsid w:val="00EC4E1E"/>
    <w:rsid w:val="00EC5EA5"/>
    <w:rsid w:val="00EC5F46"/>
    <w:rsid w:val="00ED4041"/>
    <w:rsid w:val="00EE3088"/>
    <w:rsid w:val="00EF60D2"/>
    <w:rsid w:val="00EF7EEA"/>
    <w:rsid w:val="00F0202C"/>
    <w:rsid w:val="00F02AD8"/>
    <w:rsid w:val="00F05BA5"/>
    <w:rsid w:val="00F06D30"/>
    <w:rsid w:val="00F12308"/>
    <w:rsid w:val="00F13064"/>
    <w:rsid w:val="00F1354F"/>
    <w:rsid w:val="00F32032"/>
    <w:rsid w:val="00F41028"/>
    <w:rsid w:val="00F445AF"/>
    <w:rsid w:val="00F505FE"/>
    <w:rsid w:val="00F52B70"/>
    <w:rsid w:val="00F6154C"/>
    <w:rsid w:val="00F645DC"/>
    <w:rsid w:val="00F7100F"/>
    <w:rsid w:val="00F73028"/>
    <w:rsid w:val="00F82DB2"/>
    <w:rsid w:val="00F93E69"/>
    <w:rsid w:val="00F96A62"/>
    <w:rsid w:val="00FA014C"/>
    <w:rsid w:val="00FB696D"/>
    <w:rsid w:val="00FC1668"/>
    <w:rsid w:val="00FC5092"/>
    <w:rsid w:val="00FF5427"/>
    <w:rsid w:val="00FF7432"/>
    <w:rsid w:val="4B400E7A"/>
    <w:rsid w:val="5B3C60BD"/>
    <w:rsid w:val="5F8640CB"/>
    <w:rsid w:val="6CCB7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CA42C"/>
  <w15:docId w15:val="{9FAF4D98-1483-452F-A5B7-8B250726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3"/>
    <w:rPr>
      <w:rFonts w:ascii="Century Gothic" w:hAnsi="Century Gothi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3C69"/>
    <w:pPr>
      <w:tabs>
        <w:tab w:val="center" w:pos="4153"/>
        <w:tab w:val="right" w:pos="8306"/>
      </w:tabs>
    </w:pPr>
  </w:style>
  <w:style w:type="paragraph" w:styleId="Footer">
    <w:name w:val="footer"/>
    <w:basedOn w:val="Normal"/>
    <w:link w:val="FooterChar"/>
    <w:uiPriority w:val="99"/>
    <w:rsid w:val="005D3C69"/>
    <w:pPr>
      <w:tabs>
        <w:tab w:val="center" w:pos="4153"/>
        <w:tab w:val="right" w:pos="8306"/>
      </w:tabs>
    </w:pPr>
  </w:style>
  <w:style w:type="table" w:styleId="TableGrid">
    <w:name w:val="Table Grid"/>
    <w:basedOn w:val="TableNormal"/>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7CC4"/>
    <w:rPr>
      <w:rFonts w:ascii="Century Gothic" w:hAnsi="Century Gothic"/>
      <w:sz w:val="22"/>
    </w:rPr>
  </w:style>
  <w:style w:type="paragraph" w:styleId="BalloonText">
    <w:name w:val="Balloon Text"/>
    <w:basedOn w:val="Normal"/>
    <w:link w:val="BalloonTextChar"/>
    <w:rsid w:val="00877CDE"/>
    <w:rPr>
      <w:rFonts w:ascii="Tahoma" w:hAnsi="Tahoma" w:cs="Tahoma"/>
      <w:sz w:val="16"/>
      <w:szCs w:val="16"/>
    </w:rPr>
  </w:style>
  <w:style w:type="character" w:customStyle="1" w:styleId="BalloonTextChar">
    <w:name w:val="Balloon Text Char"/>
    <w:basedOn w:val="DefaultParagraphFont"/>
    <w:link w:val="BalloonText"/>
    <w:rsid w:val="00877CDE"/>
    <w:rPr>
      <w:rFonts w:ascii="Tahoma" w:hAnsi="Tahoma" w:cs="Tahoma"/>
      <w:sz w:val="16"/>
      <w:szCs w:val="16"/>
    </w:rPr>
  </w:style>
  <w:style w:type="paragraph" w:styleId="ListParagraph">
    <w:name w:val="List Paragraph"/>
    <w:basedOn w:val="Normal"/>
    <w:uiPriority w:val="34"/>
    <w:qFormat/>
    <w:rsid w:val="00877CDE"/>
    <w:pPr>
      <w:ind w:left="720"/>
      <w:contextualSpacing/>
    </w:pPr>
  </w:style>
  <w:style w:type="paragraph" w:styleId="NormalWeb">
    <w:name w:val="Normal (Web)"/>
    <w:basedOn w:val="Normal"/>
    <w:uiPriority w:val="99"/>
    <w:semiHidden/>
    <w:unhideWhenUsed/>
    <w:rsid w:val="00CE7060"/>
    <w:pPr>
      <w:spacing w:before="100" w:beforeAutospacing="1" w:after="100" w:afterAutospacing="1"/>
    </w:pPr>
    <w:rPr>
      <w:rFonts w:ascii="Times New Roman" w:hAnsi="Times New Roman"/>
      <w:sz w:val="24"/>
      <w:szCs w:val="24"/>
    </w:rPr>
  </w:style>
  <w:style w:type="paragraph" w:styleId="NoSpacing">
    <w:name w:val="No Spacing"/>
    <w:uiPriority w:val="1"/>
    <w:qFormat/>
    <w:rsid w:val="00313CC4"/>
    <w:rPr>
      <w:rFonts w:ascii="Century Gothic" w:hAnsi="Century Gothic"/>
      <w:sz w:val="22"/>
    </w:rPr>
  </w:style>
  <w:style w:type="character" w:customStyle="1" w:styleId="HeaderChar">
    <w:name w:val="Header Char"/>
    <w:basedOn w:val="DefaultParagraphFont"/>
    <w:link w:val="Header"/>
    <w:uiPriority w:val="99"/>
    <w:rsid w:val="00EA3B1B"/>
    <w:rPr>
      <w:rFonts w:ascii="Century Gothic" w:hAnsi="Century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38476">
      <w:bodyDiv w:val="1"/>
      <w:marLeft w:val="0"/>
      <w:marRight w:val="0"/>
      <w:marTop w:val="0"/>
      <w:marBottom w:val="0"/>
      <w:divBdr>
        <w:top w:val="none" w:sz="0" w:space="0" w:color="auto"/>
        <w:left w:val="none" w:sz="0" w:space="0" w:color="auto"/>
        <w:bottom w:val="none" w:sz="0" w:space="0" w:color="auto"/>
        <w:right w:val="none" w:sz="0" w:space="0" w:color="auto"/>
      </w:divBdr>
    </w:div>
    <w:div w:id="18364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525B70262A584582A42AC51D6A2D95" ma:contentTypeVersion="9" ma:contentTypeDescription="Create a new document." ma:contentTypeScope="" ma:versionID="f64f799732db387a613140a93fc08b84">
  <xsd:schema xmlns:xsd="http://www.w3.org/2001/XMLSchema" xmlns:xs="http://www.w3.org/2001/XMLSchema" xmlns:p="http://schemas.microsoft.com/office/2006/metadata/properties" xmlns:ns2="a53a7aeb-1b3c-4fb4-8ca0-30e86d9e330f" xmlns:ns3="9a80af3f-9d64-464e-aff9-910044e639a3" targetNamespace="http://schemas.microsoft.com/office/2006/metadata/properties" ma:root="true" ma:fieldsID="9f2e0da6e26beb2475272a8c5b46397e" ns2:_="" ns3:_="">
    <xsd:import namespace="a53a7aeb-1b3c-4fb4-8ca0-30e86d9e330f"/>
    <xsd:import namespace="9a80af3f-9d64-464e-aff9-910044e639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a7aeb-1b3c-4fb4-8ca0-30e86d9e3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0af3f-9d64-464e-aff9-910044e639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6EE53-C459-48A2-B8F0-746FE3897911}">
  <ds:schemaRefs>
    <ds:schemaRef ds:uri="http://schemas.microsoft.com/sharepoint/v3/contenttype/forms"/>
  </ds:schemaRefs>
</ds:datastoreItem>
</file>

<file path=customXml/itemProps2.xml><?xml version="1.0" encoding="utf-8"?>
<ds:datastoreItem xmlns:ds="http://schemas.openxmlformats.org/officeDocument/2006/customXml" ds:itemID="{07797C78-D716-E54E-9739-55FDB208F66A}">
  <ds:schemaRefs>
    <ds:schemaRef ds:uri="http://schemas.openxmlformats.org/officeDocument/2006/bibliography"/>
  </ds:schemaRefs>
</ds:datastoreItem>
</file>

<file path=customXml/itemProps3.xml><?xml version="1.0" encoding="utf-8"?>
<ds:datastoreItem xmlns:ds="http://schemas.openxmlformats.org/officeDocument/2006/customXml" ds:itemID="{2E01350F-037B-409E-B01B-3A64907C2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a7aeb-1b3c-4fb4-8ca0-30e86d9e330f"/>
    <ds:schemaRef ds:uri="9a80af3f-9d64-464e-aff9-910044e63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97C398-C53B-463D-9B34-915BEF387C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807</Words>
  <Characters>4601</Characters>
  <Application>Microsoft Office Word</Application>
  <DocSecurity>0</DocSecurity>
  <Lines>38</Lines>
  <Paragraphs>10</Paragraphs>
  <ScaleCrop>false</ScaleCrop>
  <Company>ABNA</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Accountant - Draft Role Description and Person Profile</dc:title>
  <dc:subject>Draft populated from revised role specification</dc:subject>
  <dc:creator>Judy Gregory</dc:creator>
  <cp:keywords/>
  <dc:description>Draft for review; items marked [To confirm] require validation.</dc:description>
  <cp:lastModifiedBy>Becky Clarke</cp:lastModifiedBy>
  <cp:revision>24</cp:revision>
  <cp:lastPrinted>2011-06-14T22:05:00Z</cp:lastPrinted>
  <dcterms:created xsi:type="dcterms:W3CDTF">2026-05-31T14:25:00Z</dcterms:created>
  <dcterms:modified xsi:type="dcterms:W3CDTF">2026-07-03T13:36:00Z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0x010100F1525B70262A584582A42AC51D6A2D95</vt:lpwstr>
  </property>
</Properties>
</file>