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4E84892D" w:rsidR="00C01223" w:rsidRPr="00613055" w:rsidRDefault="005C6643" w:rsidP="00C01223">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HGV Driver</w:t>
            </w: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64013E5B" w:rsidR="00C01223" w:rsidRPr="00613055" w:rsidRDefault="005C6643"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Transport Supervisor </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1E76BB01" w:rsidR="00C01223" w:rsidRPr="00613055" w:rsidRDefault="005C6643"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ABN</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2B411917" w:rsidR="00C01223" w:rsidRPr="00613055" w:rsidRDefault="009F5FAB"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Walsingham </w:t>
            </w: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1225DCCE" w14:textId="6E0590AE" w:rsidR="00C01223" w:rsidRPr="00613055" w:rsidRDefault="009F5FAB"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No Direct Reports </w:t>
            </w:r>
          </w:p>
        </w:tc>
      </w:tr>
      <w:tr w:rsidR="00C01223" w:rsidRPr="00613055" w14:paraId="37E48ADB" w14:textId="77777777" w:rsidTr="00B60E62">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77777777" w:rsidR="00C01223" w:rsidRPr="00613055" w:rsidRDefault="00C01223" w:rsidP="005F75F2">
            <w:pPr>
              <w:spacing w:before="40" w:after="40" w:line="240" w:lineRule="auto"/>
              <w:rPr>
                <w:rFonts w:ascii="Avenir Next LT Pro" w:eastAsia="Times New Roman" w:hAnsi="Avenir Next LT Pro" w:cs="Times New Roman"/>
                <w:sz w:val="20"/>
                <w:szCs w:val="20"/>
                <w:lang w:eastAsia="en-GB"/>
              </w:rPr>
            </w:pP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6267BF97" w14:textId="5255CA2B" w:rsidR="00C01223" w:rsidRPr="00613055" w:rsidRDefault="002B3FB7" w:rsidP="00613055">
            <w:pPr>
              <w:pStyle w:val="NoSpacing"/>
            </w:pPr>
            <w:r>
              <w:t>Effectively and safely perform animal feed deliveries to our customers. Maximise efficiency, service and feed consistency whilst ensuring that feed safety and health and safety standards are never compromised</w:t>
            </w:r>
            <w:r>
              <w:t>.</w:t>
            </w: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613055" w:rsidRDefault="00C01223" w:rsidP="00384900">
            <w:pPr>
              <w:spacing w:before="40" w:after="40"/>
              <w:contextualSpacing/>
              <w:rPr>
                <w:rFonts w:ascii="Avenir Next LT Pro" w:hAnsi="Avenir Next LT Pro"/>
                <w:sz w:val="20"/>
                <w:szCs w:val="20"/>
              </w:rPr>
            </w:pPr>
          </w:p>
          <w:p w14:paraId="38A0CF40" w14:textId="77777777" w:rsidR="00A8429F" w:rsidRPr="00A8429F" w:rsidRDefault="00A8429F" w:rsidP="00047555">
            <w:pPr>
              <w:pStyle w:val="ListParagraph"/>
              <w:spacing w:before="40" w:after="40"/>
              <w:contextualSpacing/>
              <w:rPr>
                <w:rFonts w:ascii="Avenir Next LT Pro" w:hAnsi="Avenir Next LT Pro"/>
                <w:sz w:val="20"/>
                <w:szCs w:val="20"/>
              </w:rPr>
            </w:pPr>
            <w:r>
              <w:t xml:space="preserve">• Adhere to all site and Company Health and Safety regulations. To be familiar with the requirements and implications of the Health and Safety at Work Act </w:t>
            </w:r>
          </w:p>
          <w:p w14:paraId="64B45350" w14:textId="77777777" w:rsidR="00A8429F" w:rsidRPr="00A8429F" w:rsidRDefault="00A8429F" w:rsidP="00047555">
            <w:pPr>
              <w:pStyle w:val="ListParagraph"/>
              <w:spacing w:before="40" w:after="40"/>
              <w:contextualSpacing/>
              <w:rPr>
                <w:rFonts w:ascii="Avenir Next LT Pro" w:hAnsi="Avenir Next LT Pro"/>
                <w:sz w:val="20"/>
                <w:szCs w:val="20"/>
              </w:rPr>
            </w:pPr>
            <w:r>
              <w:t xml:space="preserve">• Completion of daily walk round checks in accordance with the ABN Drivers Handbook before leaving site and or commencing shift </w:t>
            </w:r>
          </w:p>
          <w:p w14:paraId="20E78A32" w14:textId="77777777" w:rsidR="00047555" w:rsidRDefault="00A8429F" w:rsidP="00047555">
            <w:pPr>
              <w:pStyle w:val="ListParagraph"/>
              <w:spacing w:before="40" w:after="40"/>
              <w:contextualSpacing/>
            </w:pPr>
            <w:r>
              <w:t xml:space="preserve">• Ensure that the achievement of food safety is always a priority </w:t>
            </w:r>
          </w:p>
          <w:p w14:paraId="382A1935" w14:textId="77777777" w:rsidR="00873838" w:rsidRDefault="00A8429F" w:rsidP="00047555">
            <w:pPr>
              <w:pStyle w:val="ListParagraph"/>
              <w:spacing w:before="40" w:after="40"/>
              <w:contextualSpacing/>
            </w:pPr>
            <w:r>
              <w:t xml:space="preserve">• Completion of defect paperwork in line with Company procedures </w:t>
            </w:r>
          </w:p>
          <w:p w14:paraId="2EBEDD1F" w14:textId="69D8AB22" w:rsidR="00047555" w:rsidRDefault="00A8429F" w:rsidP="00047555">
            <w:pPr>
              <w:pStyle w:val="ListParagraph"/>
              <w:spacing w:before="40" w:after="40"/>
              <w:contextualSpacing/>
            </w:pPr>
            <w:r>
              <w:t xml:space="preserve">• Drive responsibly within speed limits and staying within parameters of EU Drivers hours and Road Transport Directive working time regulations </w:t>
            </w:r>
          </w:p>
          <w:p w14:paraId="05F78567" w14:textId="77777777" w:rsidR="00047555" w:rsidRDefault="00A8429F" w:rsidP="00047555">
            <w:pPr>
              <w:pStyle w:val="ListParagraph"/>
              <w:spacing w:before="40" w:after="40"/>
              <w:contextualSpacing/>
            </w:pPr>
            <w:r>
              <w:t xml:space="preserve">• Loading and unloading of the vehicles as instructed </w:t>
            </w:r>
            <w:proofErr w:type="gramStart"/>
            <w:r>
              <w:t>with regard to</w:t>
            </w:r>
            <w:proofErr w:type="gramEnd"/>
            <w:r>
              <w:t xml:space="preserve"> gross weight, axle weight, road safety and product quality </w:t>
            </w:r>
          </w:p>
          <w:p w14:paraId="4C0B556A" w14:textId="77777777" w:rsidR="00873838" w:rsidRDefault="00A8429F" w:rsidP="00047555">
            <w:pPr>
              <w:pStyle w:val="ListParagraph"/>
              <w:spacing w:before="40" w:after="40"/>
              <w:contextualSpacing/>
            </w:pPr>
            <w:r>
              <w:t xml:space="preserve">• Conduct feed deliveries accurately and efficiently </w:t>
            </w:r>
          </w:p>
          <w:p w14:paraId="47C577D5" w14:textId="7543FB44" w:rsidR="00047555" w:rsidRDefault="00A8429F" w:rsidP="00047555">
            <w:pPr>
              <w:pStyle w:val="ListParagraph"/>
              <w:spacing w:before="40" w:after="40"/>
              <w:contextualSpacing/>
            </w:pPr>
            <w:r>
              <w:t xml:space="preserve">• Ensure all delivery paperwork is completed as required by Company procedures </w:t>
            </w:r>
          </w:p>
          <w:p w14:paraId="0920912D" w14:textId="77777777" w:rsidR="00047555" w:rsidRDefault="00A8429F" w:rsidP="00047555">
            <w:pPr>
              <w:pStyle w:val="ListParagraph"/>
              <w:spacing w:before="40" w:after="40"/>
              <w:contextualSpacing/>
            </w:pPr>
            <w:r>
              <w:t xml:space="preserve">• Liaising with management to ensure the needs of the customers are met </w:t>
            </w:r>
          </w:p>
          <w:p w14:paraId="3BC6321D" w14:textId="77777777" w:rsidR="00047555" w:rsidRDefault="00A8429F" w:rsidP="00047555">
            <w:pPr>
              <w:pStyle w:val="ListParagraph"/>
              <w:spacing w:before="40" w:after="40"/>
              <w:contextualSpacing/>
            </w:pPr>
            <w:r>
              <w:t xml:space="preserve">• Maintain vehicle hygiene in accordance with Company procedures </w:t>
            </w:r>
          </w:p>
          <w:p w14:paraId="01FA5831" w14:textId="416E33CE" w:rsidR="00C01223" w:rsidRDefault="00A8429F" w:rsidP="00047555">
            <w:pPr>
              <w:pStyle w:val="ListParagraph"/>
              <w:spacing w:before="40" w:after="40"/>
              <w:contextualSpacing/>
            </w:pPr>
            <w:r>
              <w:t>• To ensure all bio-security procedures and legislation, and the associated paperwork is completed</w:t>
            </w:r>
          </w:p>
          <w:p w14:paraId="476160DA" w14:textId="77777777" w:rsidR="003B4624" w:rsidRDefault="003B4624" w:rsidP="00047555">
            <w:pPr>
              <w:pStyle w:val="ListParagraph"/>
              <w:spacing w:before="40" w:after="40"/>
              <w:contextualSpacing/>
            </w:pPr>
          </w:p>
          <w:p w14:paraId="4668D0D4" w14:textId="77777777" w:rsidR="00C659E3" w:rsidRDefault="00C659E3" w:rsidP="00047555">
            <w:pPr>
              <w:pStyle w:val="ListParagraph"/>
              <w:spacing w:before="40" w:after="40"/>
              <w:contextualSpacing/>
              <w:rPr>
                <w:b/>
                <w:bCs/>
              </w:rPr>
            </w:pPr>
          </w:p>
          <w:p w14:paraId="732E1F2D" w14:textId="77777777" w:rsidR="00C659E3" w:rsidRDefault="00C659E3" w:rsidP="00047555">
            <w:pPr>
              <w:pStyle w:val="ListParagraph"/>
              <w:spacing w:before="40" w:after="40"/>
              <w:contextualSpacing/>
              <w:rPr>
                <w:b/>
                <w:bCs/>
              </w:rPr>
            </w:pPr>
          </w:p>
          <w:p w14:paraId="7C33D49F" w14:textId="77777777" w:rsidR="00C659E3" w:rsidRDefault="00C659E3" w:rsidP="00047555">
            <w:pPr>
              <w:pStyle w:val="ListParagraph"/>
              <w:spacing w:before="40" w:after="40"/>
              <w:contextualSpacing/>
              <w:rPr>
                <w:b/>
                <w:bCs/>
              </w:rPr>
            </w:pPr>
          </w:p>
          <w:p w14:paraId="75A5D448" w14:textId="77777777" w:rsidR="00CE123B" w:rsidRDefault="00CE123B" w:rsidP="00047555">
            <w:pPr>
              <w:pStyle w:val="ListParagraph"/>
              <w:spacing w:before="40" w:after="40"/>
              <w:contextualSpacing/>
            </w:pPr>
            <w:r>
              <w:lastRenderedPageBreak/>
              <w:t xml:space="preserve">• Ownership of the Mill distribution processes </w:t>
            </w:r>
          </w:p>
          <w:p w14:paraId="7494C407" w14:textId="77777777" w:rsidR="00CE123B" w:rsidRDefault="00CE123B" w:rsidP="00047555">
            <w:pPr>
              <w:pStyle w:val="ListParagraph"/>
              <w:spacing w:before="40" w:after="40"/>
              <w:contextualSpacing/>
            </w:pPr>
            <w:r>
              <w:t>• Legislative responsibility (</w:t>
            </w:r>
            <w:proofErr w:type="gramStart"/>
            <w:r>
              <w:t>E,H</w:t>
            </w:r>
            <w:proofErr w:type="gramEnd"/>
            <w:r>
              <w:t xml:space="preserve">&amp;S) </w:t>
            </w:r>
          </w:p>
          <w:p w14:paraId="1F5CA7D3" w14:textId="77777777" w:rsidR="00CE123B" w:rsidRDefault="00CE123B" w:rsidP="00047555">
            <w:pPr>
              <w:pStyle w:val="ListParagraph"/>
              <w:spacing w:before="40" w:after="40"/>
              <w:contextualSpacing/>
            </w:pPr>
            <w:r>
              <w:t xml:space="preserve">• Accountability and ownership of site production budget </w:t>
            </w:r>
          </w:p>
          <w:p w14:paraId="47E912EE" w14:textId="0A314625" w:rsidR="00C659E3" w:rsidRDefault="00CE123B" w:rsidP="00047555">
            <w:pPr>
              <w:pStyle w:val="ListParagraph"/>
              <w:spacing w:before="40" w:after="40"/>
              <w:contextualSpacing/>
              <w:rPr>
                <w:b/>
                <w:bCs/>
              </w:rPr>
            </w:pPr>
            <w:r>
              <w:t>• Personal Accountability to Continued Professional and Personal Development</w:t>
            </w:r>
          </w:p>
          <w:p w14:paraId="5810B66C" w14:textId="77777777" w:rsidR="00C659E3" w:rsidRDefault="00C659E3" w:rsidP="00047555">
            <w:pPr>
              <w:pStyle w:val="ListParagraph"/>
              <w:spacing w:before="40" w:after="40"/>
              <w:contextualSpacing/>
              <w:rPr>
                <w:b/>
                <w:bCs/>
              </w:rPr>
            </w:pPr>
          </w:p>
          <w:p w14:paraId="24743ED6" w14:textId="77777777" w:rsidR="00C659E3" w:rsidRDefault="00C659E3" w:rsidP="00047555">
            <w:pPr>
              <w:pStyle w:val="ListParagraph"/>
              <w:spacing w:before="40" w:after="40"/>
              <w:contextualSpacing/>
              <w:rPr>
                <w:b/>
                <w:bCs/>
              </w:rPr>
            </w:pPr>
          </w:p>
          <w:p w14:paraId="5706F1BC" w14:textId="538806A8" w:rsidR="0059085C" w:rsidRDefault="003B4624" w:rsidP="00047555">
            <w:pPr>
              <w:pStyle w:val="ListParagraph"/>
              <w:spacing w:before="40" w:after="40"/>
              <w:contextualSpacing/>
            </w:pPr>
            <w:r w:rsidRPr="003B4624">
              <w:rPr>
                <w:b/>
                <w:bCs/>
              </w:rPr>
              <w:t>Measures</w:t>
            </w:r>
            <w:r>
              <w:t xml:space="preserve"> </w:t>
            </w:r>
          </w:p>
          <w:p w14:paraId="4BA35EDE" w14:textId="523504D3" w:rsidR="003B4624" w:rsidRDefault="003B4624" w:rsidP="00047555">
            <w:pPr>
              <w:pStyle w:val="ListParagraph"/>
              <w:spacing w:before="40" w:after="40"/>
              <w:contextualSpacing/>
            </w:pPr>
            <w:r>
              <w:t xml:space="preserve">• Distribution KPI’s (daily/weekly/monthly) </w:t>
            </w:r>
          </w:p>
          <w:p w14:paraId="745B6873" w14:textId="77777777" w:rsidR="003B4624" w:rsidRDefault="003B4624" w:rsidP="00047555">
            <w:pPr>
              <w:pStyle w:val="ListParagraph"/>
              <w:spacing w:before="40" w:after="40"/>
              <w:contextualSpacing/>
            </w:pPr>
            <w:r>
              <w:t xml:space="preserve">• Internal employee survey score </w:t>
            </w:r>
          </w:p>
          <w:p w14:paraId="56203626" w14:textId="77777777" w:rsidR="0059085C" w:rsidRDefault="003B4624" w:rsidP="00047555">
            <w:pPr>
              <w:pStyle w:val="ListParagraph"/>
              <w:spacing w:before="40" w:after="40"/>
              <w:contextualSpacing/>
            </w:pPr>
            <w:r>
              <w:t xml:space="preserve">• EU Drivers hours and Road Transport Directive working time infringements </w:t>
            </w:r>
          </w:p>
          <w:p w14:paraId="4981E253" w14:textId="77777777" w:rsidR="008C73FD" w:rsidRDefault="003B4624" w:rsidP="00047555">
            <w:pPr>
              <w:pStyle w:val="ListParagraph"/>
              <w:spacing w:before="40" w:after="40"/>
              <w:contextualSpacing/>
            </w:pPr>
            <w:r>
              <w:t xml:space="preserve">• Health &amp; Safety audit scores and accident statistics </w:t>
            </w:r>
          </w:p>
          <w:p w14:paraId="64DCF765" w14:textId="7FE684CE" w:rsidR="0059085C" w:rsidRDefault="003B4624" w:rsidP="00047555">
            <w:pPr>
              <w:pStyle w:val="ListParagraph"/>
              <w:spacing w:before="40" w:after="40"/>
              <w:contextualSpacing/>
            </w:pPr>
            <w:r>
              <w:t xml:space="preserve">• Internal Hygiene Scores. </w:t>
            </w:r>
          </w:p>
          <w:p w14:paraId="38C90B5D" w14:textId="77777777" w:rsidR="0059085C" w:rsidRDefault="003B4624" w:rsidP="00047555">
            <w:pPr>
              <w:pStyle w:val="ListParagraph"/>
              <w:spacing w:before="40" w:after="40"/>
              <w:contextualSpacing/>
            </w:pPr>
            <w:r>
              <w:t xml:space="preserve">• Monthly QA results for feed analysis. </w:t>
            </w:r>
          </w:p>
          <w:p w14:paraId="2424A584" w14:textId="77777777" w:rsidR="0059085C" w:rsidRDefault="003B4624" w:rsidP="00047555">
            <w:pPr>
              <w:pStyle w:val="ListParagraph"/>
              <w:spacing w:before="40" w:after="40"/>
              <w:contextualSpacing/>
            </w:pPr>
            <w:r>
              <w:t xml:space="preserve">• Internal Quality Audit scores and external reports. </w:t>
            </w:r>
          </w:p>
          <w:p w14:paraId="4CFA2CCF" w14:textId="13C5BE5D" w:rsidR="003B4624" w:rsidRDefault="003B4624" w:rsidP="00047555">
            <w:pPr>
              <w:pStyle w:val="ListParagraph"/>
              <w:spacing w:before="40" w:after="40"/>
              <w:contextualSpacing/>
            </w:pPr>
            <w:r>
              <w:t>• Customer Complaints</w:t>
            </w:r>
          </w:p>
          <w:p w14:paraId="766DC45E" w14:textId="77777777" w:rsidR="003B4624" w:rsidRDefault="003B4624" w:rsidP="00047555">
            <w:pPr>
              <w:pStyle w:val="ListParagraph"/>
              <w:spacing w:before="40" w:after="40"/>
              <w:contextualSpacing/>
              <w:rPr>
                <w:rFonts w:ascii="Avenir Next LT Pro" w:hAnsi="Avenir Next LT Pro"/>
                <w:sz w:val="20"/>
                <w:szCs w:val="20"/>
              </w:rPr>
            </w:pPr>
          </w:p>
          <w:p w14:paraId="63508E18" w14:textId="77777777" w:rsidR="00C659E3" w:rsidRPr="00613055" w:rsidRDefault="00C659E3" w:rsidP="00047555">
            <w:pPr>
              <w:pStyle w:val="ListParagraph"/>
              <w:spacing w:before="40" w:after="40"/>
              <w:contextualSpacing/>
              <w:rPr>
                <w:rFonts w:ascii="Avenir Next LT Pro" w:hAnsi="Avenir Next LT Pro"/>
                <w:sz w:val="20"/>
                <w:szCs w:val="20"/>
              </w:rPr>
            </w:pPr>
          </w:p>
          <w:p w14:paraId="7C1611A9"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446D7014" w14:textId="77777777" w:rsidR="002940B4" w:rsidRDefault="002940B4" w:rsidP="00384900">
            <w:pPr>
              <w:spacing w:before="40" w:after="40"/>
              <w:contextualSpacing/>
            </w:pPr>
            <w:r>
              <w:t xml:space="preserve">• Operations Manager/ Transport Manager/Production Manager/ Operations Support Manager/ Team Leaders– Routine progress updates, awareness of issues and resolutions, communicate on performance progress (reliability, cost, energy efficiency). </w:t>
            </w:r>
          </w:p>
          <w:p w14:paraId="11D80827" w14:textId="77777777" w:rsidR="002940B4" w:rsidRDefault="002940B4" w:rsidP="00384900">
            <w:pPr>
              <w:spacing w:before="40" w:after="40"/>
              <w:contextualSpacing/>
            </w:pPr>
            <w:r>
              <w:t xml:space="preserve">• Regional </w:t>
            </w:r>
            <w:proofErr w:type="gramStart"/>
            <w:r>
              <w:t>E,H</w:t>
            </w:r>
            <w:proofErr w:type="gramEnd"/>
            <w:r>
              <w:t xml:space="preserve">&amp;S – Update on action status from Audits, communication of identified issues. </w:t>
            </w:r>
          </w:p>
          <w:p w14:paraId="60F3137A" w14:textId="29F0B18C" w:rsidR="002940B4" w:rsidRDefault="002940B4" w:rsidP="00384900">
            <w:pPr>
              <w:spacing w:before="40" w:after="40"/>
              <w:contextualSpacing/>
            </w:pPr>
            <w:r>
              <w:t xml:space="preserve">• Regional Quality - Update on action status from Audits, communication of identified issues. </w:t>
            </w:r>
          </w:p>
          <w:p w14:paraId="585758A6" w14:textId="77777777" w:rsidR="002940B4" w:rsidRDefault="002940B4" w:rsidP="00384900">
            <w:pPr>
              <w:spacing w:before="40" w:after="40"/>
              <w:contextualSpacing/>
            </w:pPr>
            <w:r>
              <w:t xml:space="preserve">• Regional HR – Comms on training, people performance. </w:t>
            </w:r>
          </w:p>
          <w:p w14:paraId="6DE73E17" w14:textId="683F1D63" w:rsidR="00C01223" w:rsidRPr="00613055" w:rsidRDefault="002940B4" w:rsidP="00384900">
            <w:pPr>
              <w:spacing w:before="40" w:after="40"/>
              <w:contextualSpacing/>
              <w:rPr>
                <w:rFonts w:ascii="Avenir Next LT Pro" w:hAnsi="Avenir Next LT Pro"/>
                <w:sz w:val="20"/>
                <w:szCs w:val="20"/>
              </w:rPr>
            </w:pPr>
            <w:r>
              <w:t>• Customers – Be an ambassador for the business</w:t>
            </w:r>
          </w:p>
          <w:p w14:paraId="5B45EFCA" w14:textId="77777777" w:rsidR="00C01223" w:rsidRPr="00613055" w:rsidRDefault="00C01223" w:rsidP="008C73FD">
            <w:pPr>
              <w:pStyle w:val="ListParagraph"/>
              <w:spacing w:before="40" w:after="40"/>
              <w:contextualSpacing/>
              <w:rPr>
                <w:rFonts w:ascii="Avenir Next LT Pro" w:hAnsi="Avenir Next LT Pro"/>
                <w:sz w:val="20"/>
                <w:szCs w:val="20"/>
              </w:rPr>
            </w:pPr>
          </w:p>
          <w:p w14:paraId="250D06E7"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76660FF2" w14:textId="0F57A7E0" w:rsidR="00C01223" w:rsidRPr="00613055" w:rsidRDefault="00020B4A" w:rsidP="00384900">
            <w:pPr>
              <w:spacing w:before="40" w:after="40"/>
              <w:contextualSpacing/>
              <w:rPr>
                <w:rFonts w:ascii="Avenir Next LT Pro" w:hAnsi="Avenir Next LT Pro"/>
                <w:sz w:val="20"/>
                <w:szCs w:val="20"/>
              </w:rPr>
            </w:pPr>
            <w:r>
              <w:t>• Shift work - patterns vary by site</w:t>
            </w: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043E1BC0" w14:textId="77777777" w:rsidR="00E96F87" w:rsidRPr="00613055" w:rsidRDefault="00E96F87" w:rsidP="00272C79">
      <w:pPr>
        <w:tabs>
          <w:tab w:val="left" w:pos="1655"/>
        </w:tabs>
        <w:spacing w:after="0"/>
        <w:rPr>
          <w:rFonts w:ascii="Avenir Next LT Pro" w:hAnsi="Avenir Next LT Pro"/>
          <w:sz w:val="20"/>
          <w:szCs w:val="20"/>
        </w:rPr>
      </w:pPr>
    </w:p>
    <w:p w14:paraId="768F1690" w14:textId="77777777" w:rsidR="00E96F87" w:rsidRPr="00613055" w:rsidRDefault="00E96F87" w:rsidP="00272C79">
      <w:pPr>
        <w:tabs>
          <w:tab w:val="left" w:pos="1655"/>
        </w:tabs>
        <w:spacing w:after="0"/>
        <w:rPr>
          <w:rFonts w:ascii="Avenir Next LT Pro" w:hAnsi="Avenir Next LT Pro"/>
          <w:sz w:val="20"/>
          <w:szCs w:val="20"/>
        </w:rPr>
      </w:pPr>
    </w:p>
    <w:p w14:paraId="3D91D471" w14:textId="77777777" w:rsidR="00E96F87" w:rsidRPr="00613055" w:rsidRDefault="00E96F87" w:rsidP="00272C79">
      <w:pPr>
        <w:tabs>
          <w:tab w:val="left" w:pos="1655"/>
        </w:tabs>
        <w:spacing w:after="0"/>
        <w:rPr>
          <w:rFonts w:ascii="Avenir Next LT Pro" w:hAnsi="Avenir Next LT Pro"/>
          <w:sz w:val="20"/>
          <w:szCs w:val="20"/>
        </w:rPr>
      </w:pPr>
    </w:p>
    <w:p w14:paraId="0ACB9A00" w14:textId="77777777" w:rsidR="00E96F87" w:rsidRPr="00613055" w:rsidRDefault="00E96F87" w:rsidP="00272C79">
      <w:pPr>
        <w:tabs>
          <w:tab w:val="left" w:pos="1655"/>
        </w:tabs>
        <w:spacing w:after="0"/>
        <w:rPr>
          <w:rFonts w:ascii="Avenir Next LT Pro" w:hAnsi="Avenir Next LT Pro"/>
          <w:sz w:val="20"/>
          <w:szCs w:val="20"/>
        </w:rPr>
      </w:pPr>
    </w:p>
    <w:p w14:paraId="22C2F7BF" w14:textId="77777777" w:rsidR="00E96F87" w:rsidRPr="00613055" w:rsidRDefault="00E96F87" w:rsidP="00272C79">
      <w:pPr>
        <w:tabs>
          <w:tab w:val="left" w:pos="1655"/>
        </w:tabs>
        <w:spacing w:after="0"/>
        <w:rPr>
          <w:rFonts w:ascii="Avenir Next LT Pro" w:hAnsi="Avenir Next LT Pro"/>
          <w:sz w:val="20"/>
          <w:szCs w:val="20"/>
        </w:rPr>
      </w:pPr>
    </w:p>
    <w:p w14:paraId="22F084BF" w14:textId="77777777" w:rsidR="00E96F87" w:rsidRPr="00613055" w:rsidRDefault="00E96F87" w:rsidP="00272C79">
      <w:pPr>
        <w:tabs>
          <w:tab w:val="left" w:pos="1655"/>
        </w:tabs>
        <w:spacing w:after="0"/>
        <w:rPr>
          <w:rFonts w:ascii="Avenir Next LT Pro" w:hAnsi="Avenir Next LT Pro"/>
          <w:sz w:val="20"/>
          <w:szCs w:val="20"/>
        </w:rPr>
      </w:pPr>
    </w:p>
    <w:p w14:paraId="1CE3E1B2" w14:textId="77777777" w:rsidR="00E96F87" w:rsidRPr="00613055" w:rsidRDefault="00E96F87" w:rsidP="00272C79">
      <w:pPr>
        <w:tabs>
          <w:tab w:val="left" w:pos="1655"/>
        </w:tabs>
        <w:spacing w:after="0"/>
        <w:rPr>
          <w:rFonts w:ascii="Avenir Next LT Pro" w:hAnsi="Avenir Next LT Pro"/>
          <w:sz w:val="20"/>
          <w:szCs w:val="20"/>
        </w:rPr>
      </w:pPr>
    </w:p>
    <w:p w14:paraId="1B4152CB" w14:textId="77777777" w:rsidR="00E96F87" w:rsidRPr="00613055" w:rsidRDefault="00E96F87" w:rsidP="00272C79">
      <w:pPr>
        <w:tabs>
          <w:tab w:val="left" w:pos="1655"/>
        </w:tabs>
        <w:spacing w:after="0"/>
        <w:rPr>
          <w:rFonts w:ascii="Avenir Next LT Pro" w:hAnsi="Avenir Next LT Pro"/>
          <w:sz w:val="20"/>
          <w:szCs w:val="20"/>
        </w:rPr>
      </w:pPr>
    </w:p>
    <w:p w14:paraId="3265D0C1" w14:textId="77777777" w:rsidR="00E96F87" w:rsidRPr="00613055" w:rsidRDefault="00E96F87" w:rsidP="00272C79">
      <w:pPr>
        <w:tabs>
          <w:tab w:val="left" w:pos="1655"/>
        </w:tabs>
        <w:spacing w:after="0"/>
        <w:rPr>
          <w:rFonts w:ascii="Avenir Next LT Pro" w:hAnsi="Avenir Next LT Pro"/>
          <w:sz w:val="20"/>
          <w:szCs w:val="20"/>
        </w:rPr>
      </w:pPr>
    </w:p>
    <w:p w14:paraId="16CC1DF5" w14:textId="77777777" w:rsidR="00E96F87" w:rsidRPr="00613055" w:rsidRDefault="00E96F87" w:rsidP="00272C79">
      <w:pPr>
        <w:tabs>
          <w:tab w:val="left" w:pos="1655"/>
        </w:tabs>
        <w:spacing w:after="0"/>
        <w:rPr>
          <w:rFonts w:ascii="Avenir Next LT Pro" w:hAnsi="Avenir Next LT Pro"/>
          <w:sz w:val="20"/>
          <w:szCs w:val="20"/>
        </w:rPr>
      </w:pPr>
    </w:p>
    <w:p w14:paraId="0D26FF99" w14:textId="77777777" w:rsidR="00E96F87" w:rsidRPr="00613055" w:rsidRDefault="00E96F87" w:rsidP="00272C79">
      <w:pPr>
        <w:tabs>
          <w:tab w:val="left" w:pos="1655"/>
        </w:tabs>
        <w:spacing w:after="0"/>
        <w:rPr>
          <w:rFonts w:ascii="Avenir Next LT Pro" w:hAnsi="Avenir Next LT Pro"/>
          <w:sz w:val="20"/>
          <w:szCs w:val="20"/>
        </w:rPr>
      </w:pPr>
    </w:p>
    <w:p w14:paraId="22E6E12C" w14:textId="77777777" w:rsidR="00E96F87" w:rsidRPr="00613055" w:rsidRDefault="00E96F87" w:rsidP="00272C79">
      <w:pPr>
        <w:tabs>
          <w:tab w:val="left" w:pos="1655"/>
        </w:tabs>
        <w:spacing w:after="0"/>
        <w:rPr>
          <w:rFonts w:ascii="Avenir Next LT Pro" w:hAnsi="Avenir Next LT Pro"/>
          <w:sz w:val="20"/>
          <w:szCs w:val="20"/>
        </w:rPr>
      </w:pPr>
    </w:p>
    <w:p w14:paraId="541DF3E2" w14:textId="77777777" w:rsidR="00613055" w:rsidRPr="00613055" w:rsidRDefault="00613055" w:rsidP="00272C79">
      <w:pPr>
        <w:tabs>
          <w:tab w:val="left" w:pos="1655"/>
        </w:tabs>
        <w:spacing w:after="0"/>
        <w:rPr>
          <w:rFonts w:ascii="Avenir Next LT Pro" w:hAnsi="Avenir Next LT Pro"/>
          <w:sz w:val="20"/>
          <w:szCs w:val="20"/>
        </w:rPr>
      </w:pPr>
    </w:p>
    <w:p w14:paraId="619CB9EF" w14:textId="77777777" w:rsidR="00613055" w:rsidRPr="00613055" w:rsidRDefault="00613055" w:rsidP="00272C79">
      <w:pPr>
        <w:tabs>
          <w:tab w:val="left" w:pos="1655"/>
        </w:tabs>
        <w:spacing w:after="0"/>
        <w:rPr>
          <w:rFonts w:ascii="Avenir Next LT Pro" w:hAnsi="Avenir Next LT Pro"/>
          <w:sz w:val="20"/>
          <w:szCs w:val="20"/>
        </w:rPr>
      </w:pPr>
    </w:p>
    <w:p w14:paraId="168C9918" w14:textId="77777777" w:rsidR="00613055" w:rsidRPr="00613055" w:rsidRDefault="00613055" w:rsidP="00272C79">
      <w:pPr>
        <w:tabs>
          <w:tab w:val="left" w:pos="1655"/>
        </w:tabs>
        <w:spacing w:after="0"/>
        <w:rPr>
          <w:rFonts w:ascii="Avenir Next LT Pro" w:hAnsi="Avenir Next LT Pro"/>
          <w:sz w:val="20"/>
          <w:szCs w:val="20"/>
        </w:rPr>
      </w:pPr>
    </w:p>
    <w:p w14:paraId="095E6044" w14:textId="77777777" w:rsidR="00E96F87" w:rsidRPr="00613055" w:rsidRDefault="00E96F87" w:rsidP="00272C79">
      <w:pPr>
        <w:tabs>
          <w:tab w:val="left" w:pos="1655"/>
        </w:tabs>
        <w:spacing w:after="0"/>
        <w:rPr>
          <w:rFonts w:ascii="Avenir Next LT Pro" w:hAnsi="Avenir Next LT Pro"/>
          <w:sz w:val="20"/>
          <w:szCs w:val="20"/>
        </w:rPr>
      </w:pPr>
    </w:p>
    <w:p w14:paraId="00DCA2E3" w14:textId="77777777" w:rsidR="00E96F87" w:rsidRPr="00613055" w:rsidRDefault="00E96F87" w:rsidP="00272C79">
      <w:pPr>
        <w:tabs>
          <w:tab w:val="left" w:pos="1655"/>
        </w:tabs>
        <w:spacing w:after="0"/>
        <w:rPr>
          <w:rFonts w:ascii="Avenir Next LT Pro" w:hAnsi="Avenir Next LT Pro"/>
          <w:sz w:val="20"/>
          <w:szCs w:val="20"/>
        </w:rPr>
      </w:pPr>
    </w:p>
    <w:p w14:paraId="3C0A1A32" w14:textId="451B78DA" w:rsidR="006E3E25" w:rsidRPr="00613055" w:rsidRDefault="006E3E25" w:rsidP="00613055">
      <w:pPr>
        <w:tabs>
          <w:tab w:val="left" w:pos="1655"/>
        </w:tabs>
        <w:spacing w:after="0"/>
        <w:jc w:val="center"/>
        <w:rPr>
          <w:rFonts w:ascii="Avenir Next LT Pro" w:hAnsi="Avenir Next LT Pro"/>
          <w:b/>
          <w:bCs/>
          <w:color w:val="00755A"/>
          <w:sz w:val="24"/>
          <w:szCs w:val="24"/>
        </w:rPr>
      </w:pPr>
      <w:r w:rsidRPr="00613055">
        <w:rPr>
          <w:rFonts w:ascii="Avenir Next LT Pro" w:hAnsi="Avenir Next LT Pro"/>
          <w:b/>
          <w:bCs/>
          <w:color w:val="00755A"/>
          <w:sz w:val="24"/>
          <w:szCs w:val="24"/>
        </w:rPr>
        <w:t>Person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tcPr>
          <w:p w14:paraId="480709BD" w14:textId="77777777" w:rsidR="006E3E25" w:rsidRPr="00772EE1" w:rsidRDefault="006E3E25" w:rsidP="00077587">
            <w:pPr>
              <w:spacing w:before="40" w:after="40"/>
              <w:rPr>
                <w:rFonts w:ascii="Avenir Next LT Pro" w:hAnsi="Avenir Next LT Pro"/>
                <w:sz w:val="22"/>
                <w:szCs w:val="22"/>
              </w:rPr>
            </w:pPr>
          </w:p>
          <w:p w14:paraId="65607F78" w14:textId="44D251F8" w:rsidR="006E3E25" w:rsidRPr="00772EE1" w:rsidRDefault="00020B4A" w:rsidP="00020B4A">
            <w:pPr>
              <w:pStyle w:val="ListParagraph"/>
              <w:spacing w:before="40" w:after="40"/>
              <w:rPr>
                <w:rFonts w:ascii="Avenir Next LT Pro" w:eastAsia="Times New Roman" w:hAnsi="Avenir Next LT Pro"/>
                <w:sz w:val="22"/>
                <w:szCs w:val="22"/>
              </w:rPr>
            </w:pPr>
            <w:r w:rsidRPr="00772EE1">
              <w:rPr>
                <w:sz w:val="22"/>
                <w:szCs w:val="22"/>
              </w:rPr>
              <w:t>• HGV Class 1 and Driver CPC</w:t>
            </w:r>
          </w:p>
          <w:p w14:paraId="1798189F" w14:textId="77777777" w:rsidR="0034574F" w:rsidRPr="00772EE1" w:rsidRDefault="0034574F" w:rsidP="0034574F">
            <w:pPr>
              <w:pStyle w:val="ListParagraph"/>
              <w:spacing w:before="40" w:after="40"/>
              <w:rPr>
                <w:rFonts w:ascii="Avenir Next LT Pro" w:eastAsia="Times New Roman" w:hAnsi="Avenir Next LT Pro"/>
                <w:sz w:val="22"/>
                <w:szCs w:val="22"/>
              </w:rPr>
            </w:pPr>
          </w:p>
          <w:p w14:paraId="2AFF630C" w14:textId="1D301D02" w:rsidR="0034574F" w:rsidRPr="00772EE1" w:rsidRDefault="00772EE1" w:rsidP="00772EE1">
            <w:pPr>
              <w:pStyle w:val="ListParagraph"/>
              <w:spacing w:before="40" w:after="40"/>
              <w:rPr>
                <w:rFonts w:ascii="Avenir Next LT Pro" w:eastAsia="Times New Roman" w:hAnsi="Avenir Next LT Pro"/>
                <w:sz w:val="22"/>
                <w:szCs w:val="22"/>
              </w:rPr>
            </w:pPr>
            <w:r w:rsidRPr="00772EE1">
              <w:rPr>
                <w:sz w:val="22"/>
                <w:szCs w:val="22"/>
              </w:rPr>
              <w:t>• Experienced in agricultural -based deliveries</w:t>
            </w: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tcPr>
          <w:p w14:paraId="13D421DB" w14:textId="77777777" w:rsidR="006E3E25" w:rsidRPr="00613055" w:rsidRDefault="006E3E25" w:rsidP="00077587">
            <w:pPr>
              <w:spacing w:before="40" w:after="40"/>
              <w:rPr>
                <w:rFonts w:ascii="Avenir Next LT Pro" w:hAnsi="Avenir Next LT Pro"/>
              </w:rPr>
            </w:pPr>
          </w:p>
          <w:p w14:paraId="3C959EE2" w14:textId="288A2C70" w:rsidR="00864BD3" w:rsidRPr="00A36EBB" w:rsidRDefault="00212CAB" w:rsidP="00A36EBB">
            <w:pPr>
              <w:pStyle w:val="ListParagraph"/>
              <w:spacing w:before="40" w:after="40"/>
              <w:rPr>
                <w:rFonts w:ascii="Avenir Next LT Pro" w:eastAsia="Times New Roman" w:hAnsi="Avenir Next LT Pro"/>
              </w:rPr>
            </w:pPr>
            <w:r>
              <w:t xml:space="preserve">• </w:t>
            </w:r>
            <w:r w:rsidRPr="00212CAB">
              <w:rPr>
                <w:sz w:val="22"/>
                <w:szCs w:val="22"/>
              </w:rPr>
              <w:t>Weighbridge Operations</w:t>
            </w:r>
          </w:p>
          <w:p w14:paraId="69CAB16A" w14:textId="77777777" w:rsidR="00A36EBB" w:rsidRPr="00A36EBB" w:rsidRDefault="00A36EBB" w:rsidP="00772EE1">
            <w:pPr>
              <w:pStyle w:val="ListParagraph"/>
              <w:spacing w:before="40" w:after="40"/>
              <w:rPr>
                <w:sz w:val="22"/>
                <w:szCs w:val="22"/>
              </w:rPr>
            </w:pPr>
            <w:r w:rsidRPr="00A36EBB">
              <w:rPr>
                <w:sz w:val="22"/>
                <w:szCs w:val="22"/>
              </w:rPr>
              <w:t xml:space="preserve">• Food Manufacturing </w:t>
            </w:r>
          </w:p>
          <w:p w14:paraId="7CB1A816" w14:textId="77777777" w:rsidR="00A36EBB" w:rsidRPr="00A36EBB" w:rsidRDefault="00A36EBB" w:rsidP="00772EE1">
            <w:pPr>
              <w:pStyle w:val="ListParagraph"/>
              <w:spacing w:before="40" w:after="40"/>
              <w:rPr>
                <w:sz w:val="22"/>
                <w:szCs w:val="22"/>
              </w:rPr>
            </w:pPr>
            <w:r w:rsidRPr="00A36EBB">
              <w:rPr>
                <w:sz w:val="22"/>
                <w:szCs w:val="22"/>
              </w:rPr>
              <w:t xml:space="preserve">• Experience with the use of blowing equipment </w:t>
            </w:r>
          </w:p>
          <w:p w14:paraId="7761AAD2" w14:textId="20050C32" w:rsidR="00864BD3" w:rsidRPr="00A36EBB" w:rsidRDefault="00A36EBB" w:rsidP="00772EE1">
            <w:pPr>
              <w:pStyle w:val="ListParagraph"/>
              <w:spacing w:before="40" w:after="40"/>
              <w:rPr>
                <w:rFonts w:ascii="Avenir Next LT Pro" w:eastAsia="Times New Roman" w:hAnsi="Avenir Next LT Pro"/>
                <w:sz w:val="22"/>
                <w:szCs w:val="22"/>
              </w:rPr>
            </w:pPr>
            <w:r w:rsidRPr="00A36EBB">
              <w:rPr>
                <w:sz w:val="22"/>
                <w:szCs w:val="22"/>
              </w:rPr>
              <w:t>• Basic IT skills</w:t>
            </w: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033057" w:rsidRDefault="00C01223" w:rsidP="00C01223">
            <w:pPr>
              <w:spacing w:before="40" w:after="40"/>
              <w:rPr>
                <w:rFonts w:ascii="Avenir Next LT Pro" w:hAnsi="Avenir Next LT Pro"/>
                <w:sz w:val="22"/>
                <w:szCs w:val="22"/>
              </w:rPr>
            </w:pPr>
          </w:p>
          <w:p w14:paraId="24FB5AFD" w14:textId="77777777" w:rsidR="00033057" w:rsidRPr="00033057" w:rsidRDefault="00033057" w:rsidP="00033057">
            <w:pPr>
              <w:pStyle w:val="ListParagraph"/>
              <w:spacing w:before="40" w:after="40"/>
              <w:rPr>
                <w:b/>
                <w:bCs/>
                <w:sz w:val="22"/>
                <w:szCs w:val="22"/>
              </w:rPr>
            </w:pPr>
            <w:r w:rsidRPr="00033057">
              <w:rPr>
                <w:b/>
                <w:bCs/>
                <w:sz w:val="22"/>
                <w:szCs w:val="22"/>
              </w:rPr>
              <w:t xml:space="preserve">Be Responsible – Own it </w:t>
            </w:r>
          </w:p>
          <w:p w14:paraId="45C0F603" w14:textId="29290040" w:rsidR="00033057" w:rsidRPr="00033057" w:rsidRDefault="00033057" w:rsidP="00033057">
            <w:pPr>
              <w:pStyle w:val="ListParagraph"/>
              <w:spacing w:before="40" w:after="40"/>
              <w:rPr>
                <w:sz w:val="22"/>
                <w:szCs w:val="22"/>
              </w:rPr>
            </w:pPr>
            <w:r w:rsidRPr="00033057">
              <w:rPr>
                <w:sz w:val="22"/>
                <w:szCs w:val="22"/>
              </w:rPr>
              <w:t xml:space="preserve">• Prioritise animal welfare and the safety of our people, partners and customers </w:t>
            </w:r>
          </w:p>
          <w:p w14:paraId="2DBF6EE0" w14:textId="77777777" w:rsidR="00033057" w:rsidRPr="00033057" w:rsidRDefault="00033057" w:rsidP="00033057">
            <w:pPr>
              <w:pStyle w:val="ListParagraph"/>
              <w:spacing w:before="40" w:after="40"/>
              <w:rPr>
                <w:sz w:val="22"/>
                <w:szCs w:val="22"/>
              </w:rPr>
            </w:pPr>
            <w:r w:rsidRPr="00033057">
              <w:rPr>
                <w:sz w:val="22"/>
                <w:szCs w:val="22"/>
              </w:rPr>
              <w:t xml:space="preserve">• Drive a ‘target zero’ culture for Health and Safety </w:t>
            </w:r>
          </w:p>
          <w:p w14:paraId="2C637A2D" w14:textId="77777777" w:rsidR="00033057" w:rsidRPr="00033057" w:rsidRDefault="00033057" w:rsidP="00033057">
            <w:pPr>
              <w:pStyle w:val="ListParagraph"/>
              <w:spacing w:before="40" w:after="40"/>
              <w:rPr>
                <w:sz w:val="22"/>
                <w:szCs w:val="22"/>
              </w:rPr>
            </w:pPr>
            <w:r w:rsidRPr="00033057">
              <w:rPr>
                <w:sz w:val="22"/>
                <w:szCs w:val="22"/>
              </w:rPr>
              <w:t xml:space="preserve">• Do what you say you were going to do </w:t>
            </w:r>
          </w:p>
          <w:p w14:paraId="29C9D24D" w14:textId="77777777" w:rsidR="00033057" w:rsidRPr="00033057" w:rsidRDefault="00033057" w:rsidP="00033057">
            <w:pPr>
              <w:pStyle w:val="ListParagraph"/>
              <w:spacing w:before="40" w:after="40"/>
              <w:rPr>
                <w:sz w:val="22"/>
                <w:szCs w:val="22"/>
              </w:rPr>
            </w:pPr>
            <w:r w:rsidRPr="00033057">
              <w:rPr>
                <w:sz w:val="22"/>
                <w:szCs w:val="22"/>
              </w:rPr>
              <w:t xml:space="preserve">• Own your decisions and mistakes with honesty and respect </w:t>
            </w:r>
          </w:p>
          <w:p w14:paraId="0EE959DC" w14:textId="77777777" w:rsidR="00033057" w:rsidRPr="00033057" w:rsidRDefault="00033057" w:rsidP="00033057">
            <w:pPr>
              <w:pStyle w:val="ListParagraph"/>
              <w:spacing w:before="40" w:after="40"/>
              <w:rPr>
                <w:sz w:val="22"/>
                <w:szCs w:val="22"/>
              </w:rPr>
            </w:pPr>
            <w:r w:rsidRPr="00033057">
              <w:rPr>
                <w:sz w:val="22"/>
                <w:szCs w:val="22"/>
              </w:rPr>
              <w:t xml:space="preserve">• Take responsibility for your own progression </w:t>
            </w:r>
          </w:p>
          <w:p w14:paraId="6586FEB9" w14:textId="77777777" w:rsidR="00283B7E" w:rsidRDefault="00033057" w:rsidP="00033057">
            <w:pPr>
              <w:pStyle w:val="ListParagraph"/>
              <w:spacing w:before="40" w:after="40"/>
              <w:rPr>
                <w:sz w:val="22"/>
                <w:szCs w:val="22"/>
              </w:rPr>
            </w:pPr>
            <w:r w:rsidRPr="00033057">
              <w:rPr>
                <w:sz w:val="22"/>
                <w:szCs w:val="22"/>
              </w:rPr>
              <w:t>• Be well organised and show ability prioritise tasks and workload</w:t>
            </w:r>
          </w:p>
          <w:p w14:paraId="527BE019" w14:textId="77777777" w:rsidR="00033057" w:rsidRPr="004F673B" w:rsidRDefault="00033057" w:rsidP="00033057">
            <w:pPr>
              <w:pStyle w:val="ListParagraph"/>
              <w:spacing w:before="40" w:after="40"/>
              <w:rPr>
                <w:b/>
                <w:bCs/>
                <w:sz w:val="22"/>
                <w:szCs w:val="22"/>
              </w:rPr>
            </w:pPr>
          </w:p>
          <w:p w14:paraId="1BC17E1E" w14:textId="77777777" w:rsidR="00EA1BFB" w:rsidRPr="00AC6972" w:rsidRDefault="00EA1BFB" w:rsidP="00033057">
            <w:pPr>
              <w:pStyle w:val="ListParagraph"/>
              <w:spacing w:before="40" w:after="40"/>
              <w:rPr>
                <w:b/>
                <w:bCs/>
                <w:sz w:val="22"/>
                <w:szCs w:val="22"/>
              </w:rPr>
            </w:pPr>
            <w:r w:rsidRPr="00AC6972">
              <w:rPr>
                <w:b/>
                <w:bCs/>
                <w:sz w:val="22"/>
                <w:szCs w:val="22"/>
              </w:rPr>
              <w:t>Be Inquisitive – ask more</w:t>
            </w:r>
          </w:p>
          <w:p w14:paraId="7421F2B0" w14:textId="77777777" w:rsidR="00EA1BFB" w:rsidRPr="004F673B" w:rsidRDefault="00EA1BFB" w:rsidP="00033057">
            <w:pPr>
              <w:pStyle w:val="ListParagraph"/>
              <w:spacing w:before="40" w:after="40"/>
              <w:rPr>
                <w:sz w:val="22"/>
                <w:szCs w:val="22"/>
              </w:rPr>
            </w:pPr>
            <w:r w:rsidRPr="004F673B">
              <w:rPr>
                <w:sz w:val="22"/>
                <w:szCs w:val="22"/>
              </w:rPr>
              <w:t xml:space="preserve"> • Challenge the normal and don’t accept the status quo </w:t>
            </w:r>
          </w:p>
          <w:p w14:paraId="27394FB6" w14:textId="5CB3ADDE" w:rsidR="00EA1BFB" w:rsidRPr="004F673B" w:rsidRDefault="00EA1BFB" w:rsidP="00033057">
            <w:pPr>
              <w:pStyle w:val="ListParagraph"/>
              <w:spacing w:before="40" w:after="40"/>
              <w:rPr>
                <w:sz w:val="22"/>
                <w:szCs w:val="22"/>
              </w:rPr>
            </w:pPr>
            <w:r w:rsidRPr="004F673B">
              <w:rPr>
                <w:sz w:val="22"/>
                <w:szCs w:val="22"/>
              </w:rPr>
              <w:t xml:space="preserve">• Learn from all parts of the business </w:t>
            </w:r>
          </w:p>
          <w:p w14:paraId="4EBB0F69" w14:textId="77777777" w:rsidR="00EA1BFB" w:rsidRDefault="00EA1BFB" w:rsidP="00033057">
            <w:pPr>
              <w:pStyle w:val="ListParagraph"/>
              <w:spacing w:before="40" w:after="40"/>
              <w:rPr>
                <w:sz w:val="22"/>
                <w:szCs w:val="22"/>
              </w:rPr>
            </w:pPr>
            <w:r w:rsidRPr="004F673B">
              <w:rPr>
                <w:sz w:val="22"/>
                <w:szCs w:val="22"/>
              </w:rPr>
              <w:t>• Be innovative, make suggestions on processes, systems and products</w:t>
            </w:r>
          </w:p>
          <w:p w14:paraId="063C4611" w14:textId="77777777" w:rsidR="00AC6972" w:rsidRPr="00AC6972" w:rsidRDefault="00AC6972" w:rsidP="00033057">
            <w:pPr>
              <w:pStyle w:val="ListParagraph"/>
              <w:spacing w:before="40" w:after="40"/>
              <w:rPr>
                <w:b/>
                <w:bCs/>
                <w:sz w:val="22"/>
                <w:szCs w:val="22"/>
              </w:rPr>
            </w:pPr>
          </w:p>
          <w:p w14:paraId="52FA6D99" w14:textId="0E44F373" w:rsidR="0002385A" w:rsidRPr="00AC6972" w:rsidRDefault="0002385A" w:rsidP="00033057">
            <w:pPr>
              <w:pStyle w:val="ListParagraph"/>
              <w:spacing w:before="40" w:after="40"/>
              <w:rPr>
                <w:b/>
                <w:bCs/>
                <w:sz w:val="22"/>
                <w:szCs w:val="22"/>
              </w:rPr>
            </w:pPr>
            <w:r w:rsidRPr="00AC6972">
              <w:rPr>
                <w:b/>
                <w:bCs/>
                <w:sz w:val="22"/>
                <w:szCs w:val="22"/>
              </w:rPr>
              <w:t xml:space="preserve">Be Inclusive – talk more </w:t>
            </w:r>
          </w:p>
          <w:p w14:paraId="24AA6ACB" w14:textId="77777777" w:rsidR="0002385A" w:rsidRPr="00AC6972" w:rsidRDefault="0002385A" w:rsidP="00033057">
            <w:pPr>
              <w:pStyle w:val="ListParagraph"/>
              <w:spacing w:before="40" w:after="40"/>
              <w:rPr>
                <w:sz w:val="22"/>
                <w:szCs w:val="22"/>
              </w:rPr>
            </w:pPr>
            <w:r w:rsidRPr="00AC6972">
              <w:rPr>
                <w:sz w:val="22"/>
                <w:szCs w:val="22"/>
              </w:rPr>
              <w:t xml:space="preserve">• Value the contribution of everyone irrespective of role </w:t>
            </w:r>
          </w:p>
          <w:p w14:paraId="13FAF042" w14:textId="77777777" w:rsidR="0002385A" w:rsidRPr="00AC6972" w:rsidRDefault="0002385A" w:rsidP="00033057">
            <w:pPr>
              <w:pStyle w:val="ListParagraph"/>
              <w:spacing w:before="40" w:after="40"/>
              <w:rPr>
                <w:sz w:val="22"/>
                <w:szCs w:val="22"/>
              </w:rPr>
            </w:pPr>
            <w:r w:rsidRPr="00AC6972">
              <w:rPr>
                <w:sz w:val="22"/>
                <w:szCs w:val="22"/>
              </w:rPr>
              <w:t xml:space="preserve">• Take a one team approach </w:t>
            </w:r>
          </w:p>
          <w:p w14:paraId="4EF68A31" w14:textId="77777777" w:rsidR="0002385A" w:rsidRPr="00AC6972" w:rsidRDefault="0002385A" w:rsidP="00033057">
            <w:pPr>
              <w:pStyle w:val="ListParagraph"/>
              <w:spacing w:before="40" w:after="40"/>
              <w:rPr>
                <w:sz w:val="22"/>
                <w:szCs w:val="22"/>
              </w:rPr>
            </w:pPr>
            <w:r w:rsidRPr="00AC6972">
              <w:rPr>
                <w:sz w:val="22"/>
                <w:szCs w:val="22"/>
              </w:rPr>
              <w:t xml:space="preserve">• Listen and share ideas even if not your ‘day job’ </w:t>
            </w:r>
          </w:p>
          <w:p w14:paraId="7A4D2802" w14:textId="1CDFC0DC" w:rsidR="004F673B" w:rsidRDefault="0002385A" w:rsidP="00033057">
            <w:pPr>
              <w:pStyle w:val="ListParagraph"/>
              <w:spacing w:before="40" w:after="40"/>
              <w:rPr>
                <w:sz w:val="22"/>
                <w:szCs w:val="22"/>
              </w:rPr>
            </w:pPr>
            <w:r w:rsidRPr="00AC6972">
              <w:rPr>
                <w:sz w:val="22"/>
                <w:szCs w:val="22"/>
              </w:rPr>
              <w:t>• Demonstrate strong communication skills</w:t>
            </w:r>
          </w:p>
          <w:p w14:paraId="7E0D866D" w14:textId="77777777" w:rsidR="00AC6972" w:rsidRPr="00EA6F57" w:rsidRDefault="00AC6972" w:rsidP="00033057">
            <w:pPr>
              <w:pStyle w:val="ListParagraph"/>
              <w:spacing w:before="40" w:after="40"/>
              <w:rPr>
                <w:b/>
                <w:bCs/>
                <w:sz w:val="22"/>
                <w:szCs w:val="22"/>
              </w:rPr>
            </w:pPr>
          </w:p>
          <w:p w14:paraId="1C93ACC6" w14:textId="77777777" w:rsidR="00EF01B2" w:rsidRPr="00EA6F57" w:rsidRDefault="00EF01B2" w:rsidP="00033057">
            <w:pPr>
              <w:pStyle w:val="ListParagraph"/>
              <w:spacing w:before="40" w:after="40"/>
              <w:rPr>
                <w:b/>
                <w:bCs/>
                <w:sz w:val="22"/>
                <w:szCs w:val="22"/>
              </w:rPr>
            </w:pPr>
            <w:r w:rsidRPr="00EA6F57">
              <w:rPr>
                <w:b/>
                <w:bCs/>
                <w:sz w:val="22"/>
                <w:szCs w:val="22"/>
              </w:rPr>
              <w:t xml:space="preserve">Be Brave – push the boundaries </w:t>
            </w:r>
          </w:p>
          <w:p w14:paraId="5854CE5D" w14:textId="77777777" w:rsidR="00EF01B2" w:rsidRPr="00EA6F57" w:rsidRDefault="00EF01B2" w:rsidP="00033057">
            <w:pPr>
              <w:pStyle w:val="ListParagraph"/>
              <w:spacing w:before="40" w:after="40"/>
              <w:rPr>
                <w:sz w:val="22"/>
                <w:szCs w:val="22"/>
              </w:rPr>
            </w:pPr>
            <w:r w:rsidRPr="00EA6F57">
              <w:rPr>
                <w:sz w:val="22"/>
                <w:szCs w:val="22"/>
              </w:rPr>
              <w:t xml:space="preserve">• Challenge decisions/behaviour and yourself to do better </w:t>
            </w:r>
          </w:p>
          <w:p w14:paraId="17AEFFCC" w14:textId="77777777" w:rsidR="00EF01B2" w:rsidRPr="00EA6F57" w:rsidRDefault="00EF01B2" w:rsidP="00033057">
            <w:pPr>
              <w:pStyle w:val="ListParagraph"/>
              <w:spacing w:before="40" w:after="40"/>
              <w:rPr>
                <w:sz w:val="22"/>
                <w:szCs w:val="22"/>
              </w:rPr>
            </w:pPr>
            <w:r w:rsidRPr="00EA6F57">
              <w:rPr>
                <w:sz w:val="22"/>
                <w:szCs w:val="22"/>
              </w:rPr>
              <w:t xml:space="preserve">• Be respectful in your approach </w:t>
            </w:r>
          </w:p>
          <w:p w14:paraId="3A998847" w14:textId="487DA851" w:rsidR="00AC6972" w:rsidRPr="00EA6F57" w:rsidRDefault="00EF01B2" w:rsidP="00033057">
            <w:pPr>
              <w:pStyle w:val="ListParagraph"/>
              <w:spacing w:before="40" w:after="40"/>
              <w:rPr>
                <w:sz w:val="22"/>
                <w:szCs w:val="22"/>
              </w:rPr>
            </w:pPr>
            <w:r w:rsidRPr="00EA6F57">
              <w:rPr>
                <w:sz w:val="22"/>
                <w:szCs w:val="22"/>
              </w:rPr>
              <w:t>• Respond positively to changing business priorities</w:t>
            </w:r>
          </w:p>
          <w:p w14:paraId="33A67F62" w14:textId="69100915" w:rsidR="0002385A" w:rsidRPr="00033057" w:rsidRDefault="0002385A" w:rsidP="00033057">
            <w:pPr>
              <w:pStyle w:val="ListParagraph"/>
              <w:spacing w:before="40" w:after="40"/>
              <w:rPr>
                <w:rFonts w:ascii="Avenir Next LT Pro" w:eastAsia="Times New Roman" w:hAnsi="Avenir Next LT Pro"/>
                <w:sz w:val="22"/>
                <w:szCs w:val="22"/>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lastRenderedPageBreak/>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600EFE94"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4A4BB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18AB" w14:textId="77777777" w:rsidR="008C4506" w:rsidRDefault="008C4506" w:rsidP="0020039E">
      <w:pPr>
        <w:spacing w:after="0" w:line="240" w:lineRule="auto"/>
      </w:pPr>
      <w:r>
        <w:separator/>
      </w:r>
    </w:p>
  </w:endnote>
  <w:endnote w:type="continuationSeparator" w:id="0">
    <w:p w14:paraId="2C2ABD39" w14:textId="77777777" w:rsidR="008C4506" w:rsidRDefault="008C4506"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0DB9" w14:textId="77777777" w:rsidR="008C4506" w:rsidRDefault="008C4506" w:rsidP="0020039E">
      <w:pPr>
        <w:spacing w:after="0" w:line="240" w:lineRule="auto"/>
      </w:pPr>
      <w:r>
        <w:separator/>
      </w:r>
    </w:p>
  </w:footnote>
  <w:footnote w:type="continuationSeparator" w:id="0">
    <w:p w14:paraId="372DCF4C" w14:textId="77777777" w:rsidR="008C4506" w:rsidRDefault="008C4506"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3"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8"/>
  </w:num>
  <w:num w:numId="2" w16cid:durableId="1517424946">
    <w:abstractNumId w:val="29"/>
  </w:num>
  <w:num w:numId="3" w16cid:durableId="609245925">
    <w:abstractNumId w:val="4"/>
  </w:num>
  <w:num w:numId="4" w16cid:durableId="1822189727">
    <w:abstractNumId w:val="10"/>
  </w:num>
  <w:num w:numId="5" w16cid:durableId="1759054776">
    <w:abstractNumId w:val="25"/>
  </w:num>
  <w:num w:numId="6" w16cid:durableId="602222349">
    <w:abstractNumId w:val="5"/>
  </w:num>
  <w:num w:numId="7" w16cid:durableId="984697127">
    <w:abstractNumId w:val="23"/>
  </w:num>
  <w:num w:numId="8" w16cid:durableId="1103769425">
    <w:abstractNumId w:val="20"/>
  </w:num>
  <w:num w:numId="9" w16cid:durableId="1376739174">
    <w:abstractNumId w:val="6"/>
  </w:num>
  <w:num w:numId="10" w16cid:durableId="1858470076">
    <w:abstractNumId w:val="13"/>
  </w:num>
  <w:num w:numId="11" w16cid:durableId="2124767254">
    <w:abstractNumId w:val="27"/>
  </w:num>
  <w:num w:numId="12" w16cid:durableId="1133015001">
    <w:abstractNumId w:val="14"/>
  </w:num>
  <w:num w:numId="13" w16cid:durableId="1094864668">
    <w:abstractNumId w:val="15"/>
  </w:num>
  <w:num w:numId="14" w16cid:durableId="1833644499">
    <w:abstractNumId w:val="1"/>
  </w:num>
  <w:num w:numId="15" w16cid:durableId="1625698543">
    <w:abstractNumId w:val="8"/>
  </w:num>
  <w:num w:numId="16" w16cid:durableId="1840541574">
    <w:abstractNumId w:val="3"/>
  </w:num>
  <w:num w:numId="17" w16cid:durableId="1881042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6"/>
  </w:num>
  <w:num w:numId="19" w16cid:durableId="1162696557">
    <w:abstractNumId w:val="2"/>
  </w:num>
  <w:num w:numId="20" w16cid:durableId="109983875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28"/>
  </w:num>
  <w:num w:numId="22" w16cid:durableId="1601404175">
    <w:abstractNumId w:val="30"/>
  </w:num>
  <w:num w:numId="23" w16cid:durableId="1878420931">
    <w:abstractNumId w:val="0"/>
  </w:num>
  <w:num w:numId="24" w16cid:durableId="1078208396">
    <w:abstractNumId w:val="24"/>
  </w:num>
  <w:num w:numId="25" w16cid:durableId="1577665441">
    <w:abstractNumId w:val="22"/>
  </w:num>
  <w:num w:numId="26" w16cid:durableId="93477420">
    <w:abstractNumId w:val="33"/>
  </w:num>
  <w:num w:numId="27" w16cid:durableId="1646664576">
    <w:abstractNumId w:val="11"/>
  </w:num>
  <w:num w:numId="28" w16cid:durableId="2108303783">
    <w:abstractNumId w:val="17"/>
  </w:num>
  <w:num w:numId="29" w16cid:durableId="172574575">
    <w:abstractNumId w:val="12"/>
  </w:num>
  <w:num w:numId="30" w16cid:durableId="1156995145">
    <w:abstractNumId w:val="7"/>
  </w:num>
  <w:num w:numId="31" w16cid:durableId="870612035">
    <w:abstractNumId w:val="32"/>
  </w:num>
  <w:num w:numId="32" w16cid:durableId="1576014917">
    <w:abstractNumId w:val="26"/>
  </w:num>
  <w:num w:numId="33" w16cid:durableId="1064140491">
    <w:abstractNumId w:val="31"/>
  </w:num>
  <w:num w:numId="34" w16cid:durableId="899557612">
    <w:abstractNumId w:val="9"/>
  </w:num>
  <w:num w:numId="35" w16cid:durableId="11952651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20B4A"/>
    <w:rsid w:val="0002385A"/>
    <w:rsid w:val="00033057"/>
    <w:rsid w:val="00047555"/>
    <w:rsid w:val="00061A0A"/>
    <w:rsid w:val="00077587"/>
    <w:rsid w:val="000A4F13"/>
    <w:rsid w:val="000B299D"/>
    <w:rsid w:val="000D0D6F"/>
    <w:rsid w:val="000E3C91"/>
    <w:rsid w:val="000F497B"/>
    <w:rsid w:val="00111E37"/>
    <w:rsid w:val="00163A3B"/>
    <w:rsid w:val="001744CA"/>
    <w:rsid w:val="00184DD9"/>
    <w:rsid w:val="001B7B1C"/>
    <w:rsid w:val="0020039E"/>
    <w:rsid w:val="0020713A"/>
    <w:rsid w:val="00212CAB"/>
    <w:rsid w:val="0023163C"/>
    <w:rsid w:val="00240F4B"/>
    <w:rsid w:val="002645D0"/>
    <w:rsid w:val="00272C79"/>
    <w:rsid w:val="00275D4C"/>
    <w:rsid w:val="00276D26"/>
    <w:rsid w:val="00283B7E"/>
    <w:rsid w:val="00284A02"/>
    <w:rsid w:val="002940B4"/>
    <w:rsid w:val="002B3FB7"/>
    <w:rsid w:val="002E4A25"/>
    <w:rsid w:val="002F0AFE"/>
    <w:rsid w:val="00330827"/>
    <w:rsid w:val="0034574F"/>
    <w:rsid w:val="00375AAC"/>
    <w:rsid w:val="00387A67"/>
    <w:rsid w:val="003B4624"/>
    <w:rsid w:val="003B6AC9"/>
    <w:rsid w:val="003B7128"/>
    <w:rsid w:val="003F5364"/>
    <w:rsid w:val="0040764A"/>
    <w:rsid w:val="004107AD"/>
    <w:rsid w:val="0042170F"/>
    <w:rsid w:val="0042559A"/>
    <w:rsid w:val="004848CC"/>
    <w:rsid w:val="004A4BB2"/>
    <w:rsid w:val="004B6A53"/>
    <w:rsid w:val="004F673B"/>
    <w:rsid w:val="00501786"/>
    <w:rsid w:val="00523401"/>
    <w:rsid w:val="005534E5"/>
    <w:rsid w:val="00554CD7"/>
    <w:rsid w:val="0059085C"/>
    <w:rsid w:val="005C6643"/>
    <w:rsid w:val="005E5258"/>
    <w:rsid w:val="005F06E3"/>
    <w:rsid w:val="005F75F2"/>
    <w:rsid w:val="00613055"/>
    <w:rsid w:val="00620764"/>
    <w:rsid w:val="00627169"/>
    <w:rsid w:val="00641315"/>
    <w:rsid w:val="006D14B9"/>
    <w:rsid w:val="006E3E25"/>
    <w:rsid w:val="00772EE1"/>
    <w:rsid w:val="00791719"/>
    <w:rsid w:val="007975AA"/>
    <w:rsid w:val="007B3BDE"/>
    <w:rsid w:val="007D2251"/>
    <w:rsid w:val="008219D7"/>
    <w:rsid w:val="00824371"/>
    <w:rsid w:val="008639BD"/>
    <w:rsid w:val="00864BD3"/>
    <w:rsid w:val="00873838"/>
    <w:rsid w:val="00877DDE"/>
    <w:rsid w:val="008837AB"/>
    <w:rsid w:val="00893582"/>
    <w:rsid w:val="008A51E3"/>
    <w:rsid w:val="008B01A3"/>
    <w:rsid w:val="008C4506"/>
    <w:rsid w:val="008C57B4"/>
    <w:rsid w:val="008C73FD"/>
    <w:rsid w:val="008F33DF"/>
    <w:rsid w:val="009019E7"/>
    <w:rsid w:val="009426E6"/>
    <w:rsid w:val="00950BFE"/>
    <w:rsid w:val="00965975"/>
    <w:rsid w:val="009D4E27"/>
    <w:rsid w:val="009F3689"/>
    <w:rsid w:val="009F5FAB"/>
    <w:rsid w:val="00A12E4B"/>
    <w:rsid w:val="00A13974"/>
    <w:rsid w:val="00A36EBB"/>
    <w:rsid w:val="00A445A9"/>
    <w:rsid w:val="00A60D75"/>
    <w:rsid w:val="00A667B7"/>
    <w:rsid w:val="00A8429F"/>
    <w:rsid w:val="00A858AA"/>
    <w:rsid w:val="00AC6972"/>
    <w:rsid w:val="00B12695"/>
    <w:rsid w:val="00B30736"/>
    <w:rsid w:val="00B51E12"/>
    <w:rsid w:val="00B553D6"/>
    <w:rsid w:val="00B60E62"/>
    <w:rsid w:val="00B94C5F"/>
    <w:rsid w:val="00B96573"/>
    <w:rsid w:val="00BB5D6C"/>
    <w:rsid w:val="00BD4453"/>
    <w:rsid w:val="00C01223"/>
    <w:rsid w:val="00C14B01"/>
    <w:rsid w:val="00C308DF"/>
    <w:rsid w:val="00C4670C"/>
    <w:rsid w:val="00C63B23"/>
    <w:rsid w:val="00C659E3"/>
    <w:rsid w:val="00C837AD"/>
    <w:rsid w:val="00C91CBE"/>
    <w:rsid w:val="00CB0EF0"/>
    <w:rsid w:val="00CE123B"/>
    <w:rsid w:val="00CF55AB"/>
    <w:rsid w:val="00D1405C"/>
    <w:rsid w:val="00D156DE"/>
    <w:rsid w:val="00D266DC"/>
    <w:rsid w:val="00D27CC1"/>
    <w:rsid w:val="00D451E0"/>
    <w:rsid w:val="00E12102"/>
    <w:rsid w:val="00E16EFF"/>
    <w:rsid w:val="00E2658C"/>
    <w:rsid w:val="00E364E8"/>
    <w:rsid w:val="00E41F22"/>
    <w:rsid w:val="00E636CC"/>
    <w:rsid w:val="00E714A7"/>
    <w:rsid w:val="00E90873"/>
    <w:rsid w:val="00E92205"/>
    <w:rsid w:val="00E96F87"/>
    <w:rsid w:val="00EA1BFB"/>
    <w:rsid w:val="00EA6F57"/>
    <w:rsid w:val="00EE224C"/>
    <w:rsid w:val="00EF01B2"/>
    <w:rsid w:val="00F0176F"/>
    <w:rsid w:val="00F260C5"/>
    <w:rsid w:val="00F53C32"/>
    <w:rsid w:val="00F62EF9"/>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Chris Jackson</cp:lastModifiedBy>
  <cp:revision>25</cp:revision>
  <cp:lastPrinted>2015-08-11T09:10:00Z</cp:lastPrinted>
  <dcterms:created xsi:type="dcterms:W3CDTF">2026-06-18T20:11:00Z</dcterms:created>
  <dcterms:modified xsi:type="dcterms:W3CDTF">2026-06-18T20:29:00Z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