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3F8A" w14:textId="3726AF03" w:rsidR="007975AA" w:rsidRPr="004E40FA" w:rsidRDefault="007975AA" w:rsidP="00C4670C">
      <w:pPr>
        <w:spacing w:after="0"/>
        <w:rPr>
          <w:rFonts w:ascii="Century Gothic" w:eastAsia="Times New Roman" w:hAnsi="Century Gothic" w:cs="Times New Roman"/>
          <w:b/>
          <w:lang w:eastAsia="en-GB"/>
        </w:rPr>
      </w:pPr>
    </w:p>
    <w:p w14:paraId="55302705" w14:textId="77777777" w:rsidR="00077587" w:rsidRPr="004E40FA" w:rsidRDefault="00077587" w:rsidP="00077587">
      <w:pPr>
        <w:pStyle w:val="Header"/>
        <w:jc w:val="center"/>
        <w:rPr>
          <w:rFonts w:ascii="Century Gothic" w:hAnsi="Century Gothic"/>
        </w:rPr>
      </w:pPr>
      <w:r w:rsidRPr="004E40FA">
        <w:rPr>
          <w:rFonts w:ascii="Century Gothic" w:eastAsia="Times New Roman" w:hAnsi="Century Gothic" w:cs="Times New Roman"/>
          <w:b/>
          <w:lang w:eastAsia="en-GB"/>
        </w:rPr>
        <w:t>Role Description &amp; Person Profile</w:t>
      </w:r>
      <w:r w:rsidRPr="004E40FA">
        <w:rPr>
          <w:rFonts w:ascii="Century Gothic" w:hAnsi="Century Gothic"/>
          <w:noProof/>
          <w:lang w:eastAsia="en-GB"/>
        </w:rPr>
        <w:t xml:space="preserve"> </w:t>
      </w:r>
    </w:p>
    <w:p w14:paraId="6214DB5B" w14:textId="77777777" w:rsidR="00077587" w:rsidRPr="004E40FA" w:rsidRDefault="00077587" w:rsidP="00C4670C">
      <w:pPr>
        <w:spacing w:after="0"/>
        <w:rPr>
          <w:rFonts w:ascii="Century Gothic" w:eastAsia="Times New Roman" w:hAnsi="Century Gothic" w:cs="Times New Roman"/>
          <w:b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D451E0" w:rsidRPr="004E40FA" w14:paraId="4E9E9189" w14:textId="77777777" w:rsidTr="51221A63">
        <w:tc>
          <w:tcPr>
            <w:tcW w:w="2548" w:type="dxa"/>
            <w:shd w:val="clear" w:color="auto" w:fill="D9D9D9" w:themeFill="background1" w:themeFillShade="D9"/>
          </w:tcPr>
          <w:p w14:paraId="018E570C" w14:textId="77777777" w:rsidR="00D451E0" w:rsidRPr="004E40FA" w:rsidRDefault="00D451E0" w:rsidP="00077587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Role Description</w:t>
            </w:r>
          </w:p>
        </w:tc>
        <w:tc>
          <w:tcPr>
            <w:tcW w:w="7092" w:type="dxa"/>
            <w:shd w:val="clear" w:color="auto" w:fill="D9D9D9" w:themeFill="background1" w:themeFillShade="D9"/>
            <w:vAlign w:val="bottom"/>
          </w:tcPr>
          <w:p w14:paraId="4CAE1D15" w14:textId="77777777" w:rsidR="00D451E0" w:rsidRPr="004E40FA" w:rsidRDefault="00D451E0" w:rsidP="00077587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</w:pPr>
          </w:p>
        </w:tc>
      </w:tr>
      <w:tr w:rsidR="009F3689" w:rsidRPr="004E40FA" w14:paraId="4BF2D7C0" w14:textId="77777777" w:rsidTr="51221A63">
        <w:tc>
          <w:tcPr>
            <w:tcW w:w="2548" w:type="dxa"/>
          </w:tcPr>
          <w:p w14:paraId="34421115" w14:textId="77777777" w:rsidR="00D451E0" w:rsidRPr="004E40FA" w:rsidRDefault="00D451E0" w:rsidP="00077587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7571E02E" w:rsidR="00D451E0" w:rsidRPr="004E40FA" w:rsidRDefault="00A94D86" w:rsidP="51221A63">
            <w:pPr>
              <w:spacing w:before="40" w:after="40" w:line="240" w:lineRule="auto"/>
              <w:rPr>
                <w:rFonts w:ascii="Century Gothic" w:eastAsia="Calibri" w:hAnsi="Century Gothic" w:cs="Calibri"/>
              </w:rPr>
            </w:pPr>
            <w:r w:rsidRPr="004E40FA">
              <w:rPr>
                <w:rFonts w:ascii="Century Gothic" w:hAnsi="Century Gothic"/>
                <w:b/>
                <w:bCs/>
              </w:rPr>
              <w:t xml:space="preserve">S&amp;OP </w:t>
            </w:r>
            <w:r w:rsidR="002E7731">
              <w:rPr>
                <w:rFonts w:ascii="Century Gothic" w:hAnsi="Century Gothic"/>
                <w:b/>
                <w:bCs/>
              </w:rPr>
              <w:t>Lead</w:t>
            </w:r>
          </w:p>
        </w:tc>
      </w:tr>
      <w:tr w:rsidR="009F3689" w:rsidRPr="004E40FA" w14:paraId="2074AB57" w14:textId="77777777" w:rsidTr="51221A63">
        <w:tc>
          <w:tcPr>
            <w:tcW w:w="2548" w:type="dxa"/>
          </w:tcPr>
          <w:p w14:paraId="3E4BBB57" w14:textId="77777777" w:rsidR="00E12102" w:rsidRPr="004E40FA" w:rsidRDefault="00E12102" w:rsidP="00077587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35E1D858" w:rsidR="00E12102" w:rsidRPr="004E40FA" w:rsidRDefault="00F36085" w:rsidP="00077587">
            <w:pPr>
              <w:spacing w:before="40" w:after="40" w:line="240" w:lineRule="auto"/>
              <w:rPr>
                <w:rFonts w:ascii="Century Gothic" w:eastAsia="Times New Roman" w:hAnsi="Century Gothic" w:cs="Times New Roman"/>
                <w:lang w:eastAsia="en-GB"/>
              </w:rPr>
            </w:pPr>
            <w:r w:rsidRPr="004E40FA">
              <w:rPr>
                <w:rFonts w:ascii="Century Gothic" w:hAnsi="Century Gothic"/>
              </w:rPr>
              <w:t xml:space="preserve">Reporting to </w:t>
            </w:r>
            <w:r w:rsidR="00DC0AD0">
              <w:rPr>
                <w:rFonts w:ascii="Century Gothic" w:hAnsi="Century Gothic"/>
              </w:rPr>
              <w:t>Operational Excellence Director</w:t>
            </w:r>
          </w:p>
        </w:tc>
      </w:tr>
      <w:tr w:rsidR="00282BC2" w:rsidRPr="004E40FA" w14:paraId="12659DC1" w14:textId="77777777" w:rsidTr="004D1FA7">
        <w:tc>
          <w:tcPr>
            <w:tcW w:w="2548" w:type="dxa"/>
          </w:tcPr>
          <w:p w14:paraId="36DDFAA7" w14:textId="77777777" w:rsidR="00282BC2" w:rsidRPr="004E40FA" w:rsidRDefault="00282BC2" w:rsidP="00282BC2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t>Location:</w:t>
            </w:r>
          </w:p>
        </w:tc>
        <w:tc>
          <w:tcPr>
            <w:tcW w:w="7092" w:type="dxa"/>
            <w:vAlign w:val="bottom"/>
          </w:tcPr>
          <w:p w14:paraId="7CE5AE88" w14:textId="0C03C791" w:rsidR="00282BC2" w:rsidRPr="004E40FA" w:rsidRDefault="00B61179" w:rsidP="00282BC2">
            <w:pPr>
              <w:spacing w:before="40" w:after="40" w:line="240" w:lineRule="auto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hAnsi="Century Gothic"/>
              </w:rPr>
              <w:t xml:space="preserve">Hybrid - </w:t>
            </w:r>
            <w:r w:rsidR="00282BC2" w:rsidRPr="004E40FA">
              <w:rPr>
                <w:rFonts w:ascii="Century Gothic" w:hAnsi="Century Gothic"/>
              </w:rPr>
              <w:t>Home based / Peterborough</w:t>
            </w:r>
          </w:p>
        </w:tc>
      </w:tr>
      <w:tr w:rsidR="00282BC2" w:rsidRPr="004E40FA" w14:paraId="519475EB" w14:textId="77777777" w:rsidTr="51221A63">
        <w:tc>
          <w:tcPr>
            <w:tcW w:w="2548" w:type="dxa"/>
          </w:tcPr>
          <w:p w14:paraId="09962585" w14:textId="382D8F37" w:rsidR="00282BC2" w:rsidRPr="004E40FA" w:rsidRDefault="00282BC2" w:rsidP="00282BC2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t>Direct &amp; Indirect Reports:</w:t>
            </w:r>
          </w:p>
        </w:tc>
        <w:tc>
          <w:tcPr>
            <w:tcW w:w="7092" w:type="dxa"/>
          </w:tcPr>
          <w:p w14:paraId="1225DCCE" w14:textId="71DA4AF3" w:rsidR="00282BC2" w:rsidRPr="004E40FA" w:rsidRDefault="00F36085" w:rsidP="00282BC2">
            <w:pPr>
              <w:spacing w:before="40" w:after="40" w:line="240" w:lineRule="auto"/>
              <w:rPr>
                <w:rFonts w:ascii="Century Gothic" w:eastAsia="Times New Roman" w:hAnsi="Century Gothic" w:cs="Times New Roman"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lang w:eastAsia="en-GB"/>
              </w:rPr>
              <w:t>N/A</w:t>
            </w:r>
          </w:p>
        </w:tc>
      </w:tr>
      <w:tr w:rsidR="00112FB6" w:rsidRPr="004E40FA" w14:paraId="2CBCFB81" w14:textId="77777777" w:rsidTr="51221A63">
        <w:tc>
          <w:tcPr>
            <w:tcW w:w="2548" w:type="dxa"/>
          </w:tcPr>
          <w:p w14:paraId="3C3315E7" w14:textId="2F62381B" w:rsidR="00112FB6" w:rsidRPr="004E40FA" w:rsidRDefault="00112FB6" w:rsidP="00112FB6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proofErr w:type="gramStart"/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t>Overall</w:t>
            </w:r>
            <w:proofErr w:type="gramEnd"/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t xml:space="preserve"> Purpose:</w:t>
            </w:r>
          </w:p>
        </w:tc>
        <w:tc>
          <w:tcPr>
            <w:tcW w:w="7092" w:type="dxa"/>
            <w:vAlign w:val="bottom"/>
          </w:tcPr>
          <w:p w14:paraId="7D8487CB" w14:textId="724B3D9D" w:rsidR="00112FB6" w:rsidRPr="004E40FA" w:rsidRDefault="00112FB6" w:rsidP="00112FB6">
            <w:pPr>
              <w:pStyle w:val="Body"/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</w:rPr>
              <w:t xml:space="preserve">This role is to facilitate a successful Sales and Operations Planning process within </w:t>
            </w:r>
            <w:r w:rsidR="00DC0AD0">
              <w:rPr>
                <w:rFonts w:ascii="Century Gothic" w:hAnsi="Century Gothic"/>
              </w:rPr>
              <w:t>Asterra</w:t>
            </w:r>
            <w:r w:rsidRPr="004E40FA">
              <w:rPr>
                <w:rFonts w:ascii="Century Gothic" w:hAnsi="Century Gothic"/>
              </w:rPr>
              <w:t>. This will be done by working with Commercial and Supply Chain colleagues to balance our demand with our supply to improve operational efficiency and business profitability.</w:t>
            </w:r>
          </w:p>
          <w:p w14:paraId="605A80D6" w14:textId="77777777" w:rsidR="00112FB6" w:rsidRPr="004E40FA" w:rsidRDefault="00112FB6" w:rsidP="00112FB6">
            <w:pPr>
              <w:pStyle w:val="Body"/>
              <w:rPr>
                <w:rFonts w:ascii="Century Gothic" w:hAnsi="Century Gothic"/>
              </w:rPr>
            </w:pPr>
          </w:p>
          <w:p w14:paraId="0B0D88F5" w14:textId="77777777" w:rsidR="00112FB6" w:rsidRPr="004E40FA" w:rsidRDefault="00112FB6" w:rsidP="00112FB6">
            <w:pPr>
              <w:pStyle w:val="Body"/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</w:rPr>
              <w:t>This role will become the ‘go-to-person’ for the Demand and Supply plans, collating, analysing and presenting data to stakeholders to share insight, highlight potential issues and stimulate forward-looking conversations.</w:t>
            </w:r>
          </w:p>
          <w:p w14:paraId="5BE3B39E" w14:textId="77777777" w:rsidR="0043020C" w:rsidRPr="004E40FA" w:rsidRDefault="0043020C" w:rsidP="00112FB6">
            <w:pPr>
              <w:pStyle w:val="Body"/>
              <w:rPr>
                <w:rFonts w:ascii="Century Gothic" w:hAnsi="Century Gothic"/>
              </w:rPr>
            </w:pPr>
          </w:p>
          <w:p w14:paraId="1A13FF38" w14:textId="3DF983E0" w:rsidR="0043020C" w:rsidRPr="004E40FA" w:rsidRDefault="0043020C" w:rsidP="0043020C">
            <w:pPr>
              <w:jc w:val="both"/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</w:rPr>
              <w:t xml:space="preserve">Responsibility and involvement across the entire S&amp;OP process and interaction with businesses within </w:t>
            </w:r>
            <w:r w:rsidR="00DC0AD0">
              <w:rPr>
                <w:rFonts w:ascii="Century Gothic" w:hAnsi="Century Gothic"/>
              </w:rPr>
              <w:t>Asterra</w:t>
            </w:r>
            <w:r w:rsidRPr="004E40FA">
              <w:rPr>
                <w:rFonts w:ascii="Century Gothic" w:hAnsi="Century Gothic"/>
              </w:rPr>
              <w:t>. (Trident MicroNutri, KW, Trident, Amur, Feedlync)</w:t>
            </w:r>
          </w:p>
          <w:p w14:paraId="2C88E05C" w14:textId="77777777" w:rsidR="0043020C" w:rsidRPr="004E40FA" w:rsidRDefault="0043020C" w:rsidP="00112FB6">
            <w:pPr>
              <w:pStyle w:val="Body"/>
              <w:rPr>
                <w:rFonts w:ascii="Century Gothic" w:hAnsi="Century Gothic"/>
              </w:rPr>
            </w:pPr>
          </w:p>
          <w:p w14:paraId="0EDC1923" w14:textId="6B5B8C9A" w:rsidR="00112FB6" w:rsidRPr="004E40FA" w:rsidRDefault="00112FB6" w:rsidP="00112FB6">
            <w:pPr>
              <w:spacing w:before="40" w:after="40" w:line="240" w:lineRule="auto"/>
              <w:contextualSpacing/>
              <w:rPr>
                <w:rFonts w:ascii="Century Gothic" w:hAnsi="Century Gothic"/>
                <w:b/>
                <w:bCs/>
              </w:rPr>
            </w:pPr>
          </w:p>
        </w:tc>
      </w:tr>
      <w:tr w:rsidR="00417B98" w:rsidRPr="004E40FA" w14:paraId="7F3D92A7" w14:textId="77777777" w:rsidTr="00693906">
        <w:tc>
          <w:tcPr>
            <w:tcW w:w="2548" w:type="dxa"/>
          </w:tcPr>
          <w:p w14:paraId="477CA338" w14:textId="0C631BA4" w:rsidR="00417B98" w:rsidRPr="004E40FA" w:rsidRDefault="00417B98" w:rsidP="00417B98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t xml:space="preserve">Key Responsibilities: </w:t>
            </w:r>
          </w:p>
        </w:tc>
        <w:tc>
          <w:tcPr>
            <w:tcW w:w="7092" w:type="dxa"/>
          </w:tcPr>
          <w:p w14:paraId="623283EF" w14:textId="77777777" w:rsidR="00417B98" w:rsidRPr="004E40FA" w:rsidRDefault="00417B98" w:rsidP="00417B98">
            <w:pPr>
              <w:pStyle w:val="ListParagraph"/>
              <w:jc w:val="both"/>
              <w:rPr>
                <w:rFonts w:ascii="Century Gothic" w:hAnsi="Century Gothic"/>
              </w:rPr>
            </w:pPr>
          </w:p>
          <w:p w14:paraId="56FFA1F6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Generate Demand plans (sales forecasts)</w:t>
            </w:r>
            <w:r w:rsidRPr="004E40FA">
              <w:rPr>
                <w:rFonts w:ascii="Century Gothic" w:hAnsi="Century Gothic"/>
              </w:rPr>
              <w:t xml:space="preserve"> </w:t>
            </w:r>
            <w:proofErr w:type="gramStart"/>
            <w:r w:rsidRPr="004E40FA">
              <w:rPr>
                <w:rFonts w:ascii="Century Gothic" w:hAnsi="Century Gothic"/>
              </w:rPr>
              <w:t>on a monthly basis</w:t>
            </w:r>
            <w:proofErr w:type="gramEnd"/>
            <w:r w:rsidRPr="004E40FA">
              <w:rPr>
                <w:rFonts w:ascii="Century Gothic" w:hAnsi="Century Gothic"/>
              </w:rPr>
              <w:t xml:space="preserve"> by working closely with the Commercial teams to understand future customer demand.</w:t>
            </w:r>
          </w:p>
          <w:p w14:paraId="27F54BE3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</w:p>
          <w:p w14:paraId="086CFE10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Analyse and review the Demand plan</w:t>
            </w:r>
            <w:r w:rsidRPr="004E40FA">
              <w:rPr>
                <w:rFonts w:ascii="Century Gothic" w:hAnsi="Century Gothic"/>
              </w:rPr>
              <w:t xml:space="preserve"> to understand its accuracy, key changes and areas for improvement.</w:t>
            </w:r>
          </w:p>
          <w:p w14:paraId="585B60EF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</w:p>
          <w:p w14:paraId="44A2A8B6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Identify sales opportunities / risks</w:t>
            </w:r>
            <w:r w:rsidRPr="004E40FA">
              <w:rPr>
                <w:rFonts w:ascii="Century Gothic" w:hAnsi="Century Gothic"/>
              </w:rPr>
              <w:t xml:space="preserve"> by working with Commercial and facilitate the creation of action plans to convert / mitigate them.</w:t>
            </w:r>
          </w:p>
          <w:p w14:paraId="2F2F1992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</w:p>
          <w:p w14:paraId="3CF4CC82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Generate Supply plans</w:t>
            </w:r>
            <w:r w:rsidRPr="004E40FA">
              <w:rPr>
                <w:rFonts w:ascii="Century Gothic" w:hAnsi="Century Gothic"/>
              </w:rPr>
              <w:t xml:space="preserve"> by working with Supply Chain colleagues and using the sales forecast to guide our planning.</w:t>
            </w:r>
          </w:p>
          <w:p w14:paraId="1656623C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</w:p>
          <w:p w14:paraId="0B034475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Support supply chain colleagues</w:t>
            </w:r>
            <w:r w:rsidRPr="004E40FA">
              <w:rPr>
                <w:rFonts w:ascii="Century Gothic" w:hAnsi="Century Gothic"/>
              </w:rPr>
              <w:t xml:space="preserve"> to use the forecast when making purchasing decisions, when liaising with Suppliers (internal/external), and to improve operational efficiency.</w:t>
            </w:r>
          </w:p>
          <w:p w14:paraId="1765F9DF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</w:p>
          <w:p w14:paraId="3E2FB0C9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Facilitate demand and supply review meetings</w:t>
            </w:r>
            <w:r w:rsidRPr="004E40FA">
              <w:rPr>
                <w:rFonts w:ascii="Century Gothic" w:hAnsi="Century Gothic"/>
              </w:rPr>
              <w:t xml:space="preserve"> by presenting data and insights to inform the businesses planning, identification of ‘gaps and decision making.</w:t>
            </w:r>
          </w:p>
          <w:p w14:paraId="469DE184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</w:p>
          <w:p w14:paraId="31E15E45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Ownership of the Demand Planning and Reporting tools</w:t>
            </w:r>
            <w:r w:rsidRPr="004E40FA">
              <w:rPr>
                <w:rFonts w:ascii="Century Gothic" w:hAnsi="Century Gothic"/>
              </w:rPr>
              <w:t xml:space="preserve"> by becoming a ‘key user’ and ensuring stakeholders receive appropriate training and any issues are resolved.</w:t>
            </w:r>
          </w:p>
          <w:p w14:paraId="2DEA4453" w14:textId="77777777" w:rsidR="00417B98" w:rsidRPr="004E40FA" w:rsidRDefault="00417B98" w:rsidP="00417B98">
            <w:pPr>
              <w:rPr>
                <w:rFonts w:ascii="Century Gothic" w:hAnsi="Century Gothic"/>
              </w:rPr>
            </w:pPr>
          </w:p>
          <w:p w14:paraId="0F4BF407" w14:textId="77777777" w:rsidR="00417B98" w:rsidRDefault="00417B98" w:rsidP="00417B98">
            <w:pPr>
              <w:rPr>
                <w:rFonts w:ascii="Century Gothic" w:hAnsi="Century Gothic"/>
              </w:rPr>
            </w:pPr>
            <w:r w:rsidRPr="004E40FA">
              <w:rPr>
                <w:rFonts w:ascii="Century Gothic" w:hAnsi="Century Gothic"/>
                <w:b/>
                <w:bCs/>
              </w:rPr>
              <w:t>Support improvement activities</w:t>
            </w:r>
            <w:r w:rsidRPr="004E40FA">
              <w:rPr>
                <w:rFonts w:ascii="Century Gothic" w:hAnsi="Century Gothic"/>
              </w:rPr>
              <w:t xml:space="preserve"> related to sales and operations planning by using project management and continuous improvement skills to organise work and drive action.</w:t>
            </w:r>
          </w:p>
          <w:p w14:paraId="67B9EF8A" w14:textId="7F65E9FF" w:rsidR="00987399" w:rsidRDefault="00DC0AD0" w:rsidP="00417B98">
            <w:pPr>
              <w:rPr>
                <w:rFonts w:ascii="Century Gothic" w:hAnsi="Century Gothic"/>
              </w:rPr>
            </w:pPr>
            <w:r w:rsidRPr="00DC0AD0">
              <w:rPr>
                <w:rFonts w:ascii="Century Gothic" w:hAnsi="Century Gothic"/>
                <w:b/>
                <w:bCs/>
              </w:rPr>
              <w:t>Inventory Control</w:t>
            </w:r>
            <w:r>
              <w:rPr>
                <w:rFonts w:ascii="Century Gothic" w:hAnsi="Century Gothic"/>
              </w:rPr>
              <w:t xml:space="preserve"> supporting inventory levels on own sites and third parties for stock accuracy and peak stock planning.</w:t>
            </w:r>
          </w:p>
          <w:p w14:paraId="306A6926" w14:textId="0E80D247" w:rsidR="00DC0AD0" w:rsidRPr="004E40FA" w:rsidRDefault="00DC0AD0" w:rsidP="00417B98">
            <w:pPr>
              <w:rPr>
                <w:rFonts w:ascii="Century Gothic" w:hAnsi="Century Gothic"/>
              </w:rPr>
            </w:pPr>
            <w:r w:rsidRPr="00DC0AD0">
              <w:rPr>
                <w:rFonts w:ascii="Century Gothic" w:hAnsi="Century Gothic"/>
                <w:b/>
                <w:bCs/>
              </w:rPr>
              <w:t>Demand planning with suppliers</w:t>
            </w:r>
            <w:r>
              <w:rPr>
                <w:rFonts w:ascii="Century Gothic" w:hAnsi="Century Gothic"/>
              </w:rPr>
              <w:t xml:space="preserve"> building relationships and communication of demand needs in line with supply and lead times with strategic suppliers.</w:t>
            </w:r>
          </w:p>
          <w:p w14:paraId="50704CC2" w14:textId="01E275D8" w:rsidR="00417B98" w:rsidRPr="004E40FA" w:rsidRDefault="00417B98" w:rsidP="00417B98">
            <w:pPr>
              <w:pStyle w:val="ListParagraph"/>
              <w:rPr>
                <w:rFonts w:ascii="Century Gothic" w:hAnsi="Century Gothic" w:cstheme="minorHAnsi"/>
              </w:rPr>
            </w:pPr>
          </w:p>
        </w:tc>
      </w:tr>
      <w:tr w:rsidR="00417B98" w:rsidRPr="004E40FA" w14:paraId="4F624AE0" w14:textId="77777777" w:rsidTr="51221A63">
        <w:tc>
          <w:tcPr>
            <w:tcW w:w="2548" w:type="dxa"/>
          </w:tcPr>
          <w:p w14:paraId="5F5F8A04" w14:textId="69B887C3" w:rsidR="00417B98" w:rsidRPr="004E40FA" w:rsidRDefault="00417B98" w:rsidP="00417B98">
            <w:pPr>
              <w:spacing w:before="40" w:after="40" w:line="240" w:lineRule="auto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r w:rsidRPr="004E40FA">
              <w:rPr>
                <w:rFonts w:ascii="Century Gothic" w:eastAsia="Times New Roman" w:hAnsi="Century Gothic" w:cs="Times New Roman"/>
                <w:b/>
                <w:lang w:eastAsia="en-GB"/>
              </w:rPr>
              <w:lastRenderedPageBreak/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5B75E59E" w:rsidR="00417B98" w:rsidRPr="004E40FA" w:rsidRDefault="00B61179" w:rsidP="00417B98">
            <w:pPr>
              <w:spacing w:before="40" w:after="40" w:line="240" w:lineRule="auto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None</w:t>
            </w:r>
          </w:p>
        </w:tc>
      </w:tr>
    </w:tbl>
    <w:p w14:paraId="19D3F98E" w14:textId="2BBC0A79" w:rsidR="00CF55AB" w:rsidRPr="004E40FA" w:rsidRDefault="00CF55AB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4E40FA" w14:paraId="05469A3E" w14:textId="77777777" w:rsidTr="51221A63">
        <w:tc>
          <w:tcPr>
            <w:tcW w:w="9640" w:type="dxa"/>
            <w:gridSpan w:val="3"/>
            <w:shd w:val="clear" w:color="auto" w:fill="D9D9D9" w:themeFill="background1" w:themeFillShade="D9"/>
          </w:tcPr>
          <w:p w14:paraId="33F2460E" w14:textId="77777777" w:rsidR="00A12E4B" w:rsidRPr="004E40FA" w:rsidRDefault="00A12E4B" w:rsidP="00A12E4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Person Profile/Knowledge </w:t>
            </w:r>
          </w:p>
          <w:p w14:paraId="70764BCB" w14:textId="77777777" w:rsidR="00A12E4B" w:rsidRPr="004E40FA" w:rsidRDefault="00A12E4B" w:rsidP="00A12E4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Cs/>
                <w:sz w:val="22"/>
                <w:szCs w:val="22"/>
              </w:rPr>
              <w:t>Experience, any formal qualifications and necessary keys areas of knowledge or experience.</w:t>
            </w:r>
          </w:p>
        </w:tc>
      </w:tr>
      <w:tr w:rsidR="00A12E4B" w:rsidRPr="004E40FA" w14:paraId="10EB8D22" w14:textId="77777777" w:rsidTr="51221A63">
        <w:tc>
          <w:tcPr>
            <w:tcW w:w="4820" w:type="dxa"/>
            <w:gridSpan w:val="2"/>
            <w:shd w:val="clear" w:color="auto" w:fill="D9D9D9" w:themeFill="background1" w:themeFillShade="D9"/>
          </w:tcPr>
          <w:p w14:paraId="0097FACB" w14:textId="77777777" w:rsidR="00A12E4B" w:rsidRPr="004E40FA" w:rsidRDefault="00A12E4B" w:rsidP="00A12E4B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17CEF0C" w14:textId="77777777" w:rsidR="00A12E4B" w:rsidRPr="004E40FA" w:rsidRDefault="00A12E4B" w:rsidP="00A12E4B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Desirable</w:t>
            </w:r>
          </w:p>
        </w:tc>
      </w:tr>
      <w:tr w:rsidR="005D5B14" w:rsidRPr="004E40FA" w14:paraId="3FE010CE" w14:textId="77777777" w:rsidTr="51221A63">
        <w:tc>
          <w:tcPr>
            <w:tcW w:w="4820" w:type="dxa"/>
            <w:gridSpan w:val="2"/>
            <w:shd w:val="clear" w:color="auto" w:fill="auto"/>
          </w:tcPr>
          <w:p w14:paraId="28560C4A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82230B4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Data analysis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experience of handling large amounts of data with the ability to structure it, make sense of it, and extract insight</w:t>
            </w:r>
          </w:p>
          <w:p w14:paraId="22B31740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8FAC05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Project Management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experience of handling a change of process or system in a manner that is planned, organised and well-coordinated. </w:t>
            </w:r>
          </w:p>
          <w:p w14:paraId="61C71761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D07DC16" w14:textId="105C1607" w:rsidR="005D5B14" w:rsidRPr="004E40FA" w:rsidRDefault="005D5B14" w:rsidP="00D1351B">
            <w:pPr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29965C9" w14:textId="77777777" w:rsidR="0026498C" w:rsidRPr="004E40FA" w:rsidRDefault="0026498C" w:rsidP="0026498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 xml:space="preserve">Planning experience </w:t>
            </w:r>
            <w:r w:rsidRPr="004E40FA">
              <w:rPr>
                <w:rFonts w:ascii="Century Gothic" w:hAnsi="Century Gothic"/>
                <w:sz w:val="22"/>
                <w:szCs w:val="22"/>
              </w:rPr>
              <w:t>– understanding of the sales and operations planning process and the challenges and benefits of a planning supply and demand within a business</w:t>
            </w:r>
          </w:p>
          <w:p w14:paraId="71E298FF" w14:textId="77777777" w:rsidR="0026498C" w:rsidRPr="004E40FA" w:rsidRDefault="0026498C" w:rsidP="0026498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1D146BB2" w14:textId="77777777" w:rsidR="0026498C" w:rsidRPr="004E40FA" w:rsidRDefault="0026498C" w:rsidP="0026498C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Supply Chain experience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understanding of the key factors and constraints that need to be managed within a business’s supply chain </w:t>
            </w:r>
          </w:p>
          <w:p w14:paraId="33744549" w14:textId="77777777" w:rsidR="0026498C" w:rsidRPr="004E40FA" w:rsidRDefault="0026498C" w:rsidP="0026498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E92CF26" w14:textId="77777777" w:rsidR="0026498C" w:rsidRPr="004E40FA" w:rsidRDefault="0026498C" w:rsidP="0026498C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Commercial experience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understanding of the pressures and challenges customers face and the limitations of gaining an accurate sales forecast from them</w:t>
            </w:r>
          </w:p>
          <w:p w14:paraId="31219F2D" w14:textId="77777777" w:rsidR="0026498C" w:rsidRPr="004E40FA" w:rsidRDefault="0026498C" w:rsidP="0026498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3232766" w14:textId="77777777" w:rsidR="00D1351B" w:rsidRPr="004E40FA" w:rsidRDefault="00D1351B" w:rsidP="00D1351B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Power BI and Demand Tools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experience and knowledge of using Power BI dashboards and Demand tools to collate and report forecast data.</w:t>
            </w:r>
          </w:p>
          <w:p w14:paraId="421823D3" w14:textId="77777777" w:rsidR="00D1351B" w:rsidRPr="004E40FA" w:rsidRDefault="00D1351B" w:rsidP="0026498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A20300B" w14:textId="32B149AB" w:rsidR="005D5B14" w:rsidRPr="004E40FA" w:rsidRDefault="005D5B14" w:rsidP="005D5B14">
            <w:pPr>
              <w:spacing w:before="40" w:after="4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D5B14" w:rsidRPr="004E40FA" w14:paraId="306729E5" w14:textId="77777777" w:rsidTr="51221A63">
        <w:tc>
          <w:tcPr>
            <w:tcW w:w="4820" w:type="dxa"/>
            <w:gridSpan w:val="2"/>
            <w:shd w:val="clear" w:color="auto" w:fill="auto"/>
          </w:tcPr>
          <w:p w14:paraId="66A4A88F" w14:textId="77777777" w:rsidR="005D5B14" w:rsidRDefault="005D5B14" w:rsidP="005D5B1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Key Behaviours</w:t>
            </w:r>
          </w:p>
          <w:p w14:paraId="2B9616E3" w14:textId="77777777" w:rsidR="003D6081" w:rsidRPr="004E40FA" w:rsidRDefault="003D6081" w:rsidP="005D5B1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CB55615" w14:textId="7425BBDB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Relationship Building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communicates well with a range of stakeholders, often more senior, often with no initial interest.</w:t>
            </w:r>
          </w:p>
          <w:p w14:paraId="13B433BB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Attention to detail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accurate with data input and analysis, with ability spot inconsistencies and errors</w:t>
            </w:r>
          </w:p>
          <w:p w14:paraId="03314715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Process driven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comfortable following a weekly/monthly routine with set deadlines and clear inputs/outputs</w:t>
            </w:r>
          </w:p>
          <w:p w14:paraId="1480A24F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Deadline focused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inner drive to finish work on time and in full to a high standard</w:t>
            </w:r>
          </w:p>
          <w:p w14:paraId="25DF7497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Analytical with good Excel skills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comfortable analysing and comparing different data sets, often using Excel to efficiently manage this and present findings.</w:t>
            </w:r>
          </w:p>
          <w:p w14:paraId="08887EB4" w14:textId="77777777" w:rsidR="005D5B14" w:rsidRPr="004E40FA" w:rsidRDefault="005D5B14" w:rsidP="005D5B14">
            <w:pPr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Clear presenter of insights</w:t>
            </w:r>
            <w:r w:rsidRPr="004E40FA">
              <w:rPr>
                <w:rFonts w:ascii="Century Gothic" w:hAnsi="Century Gothic"/>
                <w:sz w:val="22"/>
                <w:szCs w:val="22"/>
              </w:rPr>
              <w:t xml:space="preserve"> – confidently articulates key points visually or verbally in a clear and concise manner</w:t>
            </w:r>
          </w:p>
          <w:p w14:paraId="0D22F1C6" w14:textId="6E67FB87" w:rsidR="005D5B14" w:rsidRPr="004E40FA" w:rsidRDefault="005D5B14" w:rsidP="005D5B14">
            <w:pPr>
              <w:ind w:left="720"/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0A1F600" w14:textId="77777777" w:rsidR="005D5B14" w:rsidRPr="004E40FA" w:rsidRDefault="005D5B14" w:rsidP="005D5B14">
            <w:pPr>
              <w:spacing w:before="40" w:after="4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D5B14" w:rsidRPr="004E40FA" w14:paraId="0AD927EA" w14:textId="77777777" w:rsidTr="51221A63">
        <w:trPr>
          <w:trHeight w:val="175"/>
        </w:trPr>
        <w:tc>
          <w:tcPr>
            <w:tcW w:w="2320" w:type="dxa"/>
          </w:tcPr>
          <w:p w14:paraId="60F29E3E" w14:textId="77777777" w:rsidR="005D5B14" w:rsidRPr="004E40FA" w:rsidRDefault="005D5B14" w:rsidP="005D5B14">
            <w:pPr>
              <w:spacing w:before="40" w:after="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/>
                <w:bCs/>
                <w:sz w:val="22"/>
                <w:szCs w:val="22"/>
              </w:rPr>
              <w:t>Other Factors</w:t>
            </w:r>
          </w:p>
          <w:p w14:paraId="56ADABEE" w14:textId="77777777" w:rsidR="005D5B14" w:rsidRPr="004E40FA" w:rsidRDefault="005D5B14" w:rsidP="005D5B14">
            <w:pPr>
              <w:spacing w:before="40" w:after="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E40FA">
              <w:rPr>
                <w:rFonts w:ascii="Century Gothic" w:hAnsi="Century Gothic"/>
                <w:bCs/>
                <w:sz w:val="22"/>
                <w:szCs w:val="22"/>
              </w:rPr>
              <w:t>Trave,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321212BA" w:rsidR="005D5B14" w:rsidRPr="004E40FA" w:rsidRDefault="00E01018" w:rsidP="005D5B14">
            <w:pPr>
              <w:spacing w:before="40" w:after="40"/>
              <w:rPr>
                <w:rFonts w:ascii="Century Gothic" w:hAnsi="Century Gothic"/>
                <w:sz w:val="22"/>
                <w:szCs w:val="22"/>
              </w:rPr>
            </w:pPr>
            <w:r w:rsidRPr="004E40FA">
              <w:rPr>
                <w:rFonts w:ascii="Century Gothic" w:hAnsi="Century Gothic"/>
                <w:sz w:val="22"/>
                <w:szCs w:val="22"/>
              </w:rPr>
              <w:t>Home based with occasional travel to in-person meetings at AB Dairy offices (Peterborough, Sherburn, Randalstown).</w:t>
            </w:r>
          </w:p>
        </w:tc>
      </w:tr>
    </w:tbl>
    <w:p w14:paraId="67EA9A6C" w14:textId="276F88A5" w:rsidR="00A12E4B" w:rsidRPr="004E40FA" w:rsidRDefault="00A12E4B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7CD9D749" w14:textId="4C25184F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4622743A" w14:textId="32D1B3A2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31E50A2C" w14:textId="3AC3F5ED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0ABE6AEE" w14:textId="4618DA2B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427675D1" w14:textId="5592B6BB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7878FBAC" w14:textId="545BEA39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6535668B" w14:textId="4CABDA88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77EB6CCB" w14:textId="1DB99C56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p w14:paraId="1F5FE8A3" w14:textId="77777777" w:rsidR="00077587" w:rsidRPr="004E40FA" w:rsidRDefault="00077587" w:rsidP="00272C79">
      <w:pPr>
        <w:tabs>
          <w:tab w:val="left" w:pos="1655"/>
        </w:tabs>
        <w:spacing w:after="0"/>
        <w:rPr>
          <w:rFonts w:ascii="Century Gothic" w:hAnsi="Century Gothic"/>
        </w:rPr>
      </w:pPr>
    </w:p>
    <w:sectPr w:rsidR="00077587" w:rsidRPr="004E40FA" w:rsidSect="00BD4453">
      <w:headerReference w:type="default" r:id="rId10"/>
      <w:footerReference w:type="even" r:id="rId11"/>
      <w:footerReference w:type="default" r:id="rId12"/>
      <w:pgSz w:w="11906" w:h="16838"/>
      <w:pgMar w:top="1843" w:right="1440" w:bottom="1440" w:left="1440" w:header="568" w:footer="6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5BD9" w14:textId="77777777" w:rsidR="00074723" w:rsidRDefault="00074723" w:rsidP="0020039E">
      <w:pPr>
        <w:spacing w:after="0" w:line="240" w:lineRule="auto"/>
      </w:pPr>
      <w:r>
        <w:separator/>
      </w:r>
    </w:p>
  </w:endnote>
  <w:endnote w:type="continuationSeparator" w:id="0">
    <w:p w14:paraId="66087264" w14:textId="77777777" w:rsidR="00074723" w:rsidRDefault="00074723" w:rsidP="0020039E">
      <w:pPr>
        <w:spacing w:after="0" w:line="240" w:lineRule="auto"/>
      </w:pPr>
      <w:r>
        <w:continuationSeparator/>
      </w:r>
    </w:p>
  </w:endnote>
  <w:endnote w:type="continuationNotice" w:id="1">
    <w:p w14:paraId="002C3BDA" w14:textId="77777777" w:rsidR="00074723" w:rsidRDefault="00074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82AD" w14:textId="2022B641" w:rsidR="00B553D6" w:rsidRPr="00D451E0" w:rsidRDefault="00A667B7" w:rsidP="00077587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4B8D"/>
        <w:sz w:val="14"/>
        <w:szCs w:val="14"/>
        <w:lang w:val="de-DE"/>
      </w:rPr>
    </w:pPr>
    <w:r>
      <w:rPr>
        <w:rFonts w:ascii="Tahoma" w:hAnsi="Tahoma" w:cs="Tahoma"/>
        <w:noProof/>
        <w:sz w:val="14"/>
        <w:szCs w:val="14"/>
        <w:lang w:val="de-DE"/>
      </w:rPr>
      <w:drawing>
        <wp:anchor distT="0" distB="0" distL="114300" distR="114300" simplePos="0" relativeHeight="251658241" behindDoc="0" locked="0" layoutInCell="1" allowOverlap="1" wp14:anchorId="6EB6A078" wp14:editId="3ABE6BC7">
          <wp:simplePos x="0" y="0"/>
          <wp:positionH relativeFrom="column">
            <wp:posOffset>4953000</wp:posOffset>
          </wp:positionH>
          <wp:positionV relativeFrom="paragraph">
            <wp:posOffset>-497253</wp:posOffset>
          </wp:positionV>
          <wp:extent cx="1546525" cy="1029383"/>
          <wp:effectExtent l="0" t="0" r="0" b="0"/>
          <wp:wrapNone/>
          <wp:docPr id="3" name="Picture 3" descr="A colorful striped anim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olorful striped animal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77" cy="1032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3D6" w:rsidRPr="00077587">
      <w:rPr>
        <w:rFonts w:ascii="Tahoma" w:hAnsi="Tahoma" w:cs="Tahoma"/>
        <w:sz w:val="14"/>
        <w:szCs w:val="14"/>
        <w:lang w:val="de-DE"/>
      </w:rPr>
      <w:t xml:space="preserve">Page </w:t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instrText xml:space="preserve"> PAGE  \* Arabic  \* MERGEFORMAT </w:instrText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t>1</w:t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fldChar w:fldCharType="end"/>
    </w:r>
    <w:r w:rsidR="00B553D6" w:rsidRPr="00077587">
      <w:rPr>
        <w:rFonts w:ascii="Tahoma" w:hAnsi="Tahoma" w:cs="Tahoma"/>
        <w:sz w:val="14"/>
        <w:szCs w:val="14"/>
        <w:lang w:val="de-DE"/>
      </w:rPr>
      <w:t xml:space="preserve"> of </w:t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instrText xml:space="preserve"> NUMPAGES  \* Arabic  \* MERGEFORMAT </w:instrText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t>2</w:t>
    </w:r>
    <w:r w:rsidR="00B553D6" w:rsidRPr="00077587">
      <w:rPr>
        <w:rFonts w:ascii="Tahoma" w:hAnsi="Tahoma" w:cs="Tahoma"/>
        <w:b/>
        <w:bCs/>
        <w:sz w:val="14"/>
        <w:szCs w:val="14"/>
        <w:lang w:val="de-DE"/>
      </w:rPr>
      <w:fldChar w:fldCharType="end"/>
    </w:r>
  </w:p>
  <w:p w14:paraId="408096B4" w14:textId="0B9973D1" w:rsidR="00B553D6" w:rsidRDefault="00B55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F996" w14:textId="5C0C6796" w:rsidR="00CF55AB" w:rsidRPr="00D451E0" w:rsidRDefault="00A667B7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004B8D"/>
        <w:sz w:val="14"/>
        <w:szCs w:val="14"/>
        <w:lang w:val="de-DE"/>
      </w:rPr>
    </w:pPr>
    <w:r>
      <w:rPr>
        <w:rFonts w:ascii="Tahoma" w:hAnsi="Tahoma" w:cs="Tahoma"/>
        <w:noProof/>
        <w:sz w:val="14"/>
        <w:szCs w:val="14"/>
        <w:lang w:val="de-DE"/>
      </w:rPr>
      <w:drawing>
        <wp:anchor distT="0" distB="0" distL="114300" distR="114300" simplePos="0" relativeHeight="251658242" behindDoc="0" locked="0" layoutInCell="1" allowOverlap="1" wp14:anchorId="62EEBF1B" wp14:editId="1297504D">
          <wp:simplePos x="0" y="0"/>
          <wp:positionH relativeFrom="column">
            <wp:posOffset>4914900</wp:posOffset>
          </wp:positionH>
          <wp:positionV relativeFrom="paragraph">
            <wp:posOffset>-655320</wp:posOffset>
          </wp:positionV>
          <wp:extent cx="1546525" cy="1029383"/>
          <wp:effectExtent l="0" t="0" r="0" b="0"/>
          <wp:wrapNone/>
          <wp:docPr id="4" name="Picture 4" descr="A colorful striped anim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olorful striped animal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525" cy="102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F13">
      <w:rPr>
        <w:rFonts w:ascii="Tahoma" w:hAnsi="Tahoma" w:cs="Tahoma"/>
        <w:color w:val="004B8D"/>
        <w:sz w:val="14"/>
        <w:szCs w:val="14"/>
        <w:lang w:val="de-DE"/>
      </w:rPr>
      <w:tab/>
    </w:r>
    <w:r w:rsidR="000A4F13">
      <w:rPr>
        <w:rFonts w:ascii="Tahoma" w:hAnsi="Tahoma" w:cs="Tahoma"/>
        <w:color w:val="004B8D"/>
        <w:sz w:val="14"/>
        <w:szCs w:val="14"/>
        <w:lang w:val="de-DE"/>
      </w:rPr>
      <w:tab/>
    </w:r>
    <w:r w:rsidR="000A4F13">
      <w:rPr>
        <w:rFonts w:ascii="Tahoma" w:hAnsi="Tahoma" w:cs="Tahoma"/>
        <w:color w:val="004B8D"/>
        <w:sz w:val="14"/>
        <w:szCs w:val="14"/>
        <w:lang w:val="de-DE"/>
      </w:rPr>
      <w:tab/>
    </w:r>
    <w:r w:rsidR="000A4F13">
      <w:rPr>
        <w:rFonts w:ascii="Tahoma" w:hAnsi="Tahoma" w:cs="Tahoma"/>
        <w:color w:val="004B8D"/>
        <w:sz w:val="14"/>
        <w:szCs w:val="14"/>
        <w:lang w:val="de-DE"/>
      </w:rPr>
      <w:tab/>
    </w:r>
    <w:r w:rsidR="000A4F13">
      <w:rPr>
        <w:rFonts w:ascii="Tahoma" w:hAnsi="Tahoma" w:cs="Tahoma"/>
        <w:color w:val="004B8D"/>
        <w:sz w:val="14"/>
        <w:szCs w:val="14"/>
        <w:lang w:val="de-DE"/>
      </w:rPr>
      <w:tab/>
    </w:r>
    <w:r w:rsidR="000A4F13">
      <w:rPr>
        <w:rFonts w:ascii="Tahoma" w:hAnsi="Tahoma" w:cs="Tahoma"/>
        <w:color w:val="004B8D"/>
        <w:sz w:val="14"/>
        <w:szCs w:val="14"/>
        <w:lang w:val="de-DE"/>
      </w:rPr>
      <w:tab/>
    </w:r>
    <w:r w:rsidR="000A4F13" w:rsidRPr="00077587">
      <w:rPr>
        <w:rFonts w:ascii="Tahoma" w:hAnsi="Tahoma" w:cs="Tahoma"/>
        <w:sz w:val="14"/>
        <w:szCs w:val="14"/>
        <w:lang w:val="de-DE"/>
      </w:rPr>
      <w:t xml:space="preserve">Page </w:t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instrText xml:space="preserve"> PAGE  \* Arabic  \* MERGEFORMAT </w:instrText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t>2</w:t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fldChar w:fldCharType="end"/>
    </w:r>
    <w:r w:rsidR="000A4F13" w:rsidRPr="00077587">
      <w:rPr>
        <w:rFonts w:ascii="Tahoma" w:hAnsi="Tahoma" w:cs="Tahoma"/>
        <w:sz w:val="14"/>
        <w:szCs w:val="14"/>
        <w:lang w:val="de-DE"/>
      </w:rPr>
      <w:t xml:space="preserve"> of </w:t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instrText xml:space="preserve"> NUMPAGES  \* Arabic  \* MERGEFORMAT </w:instrText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t>2</w:t>
    </w:r>
    <w:r w:rsidR="000A4F13" w:rsidRPr="00077587">
      <w:rPr>
        <w:rFonts w:ascii="Tahoma" w:hAnsi="Tahoma" w:cs="Tahoma"/>
        <w:b/>
        <w:bCs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14BF" w14:textId="77777777" w:rsidR="00074723" w:rsidRDefault="00074723" w:rsidP="0020039E">
      <w:pPr>
        <w:spacing w:after="0" w:line="240" w:lineRule="auto"/>
      </w:pPr>
      <w:r>
        <w:separator/>
      </w:r>
    </w:p>
  </w:footnote>
  <w:footnote w:type="continuationSeparator" w:id="0">
    <w:p w14:paraId="121C12DC" w14:textId="77777777" w:rsidR="00074723" w:rsidRDefault="00074723" w:rsidP="0020039E">
      <w:pPr>
        <w:spacing w:after="0" w:line="240" w:lineRule="auto"/>
      </w:pPr>
      <w:r>
        <w:continuationSeparator/>
      </w:r>
    </w:p>
  </w:footnote>
  <w:footnote w:type="continuationNotice" w:id="1">
    <w:p w14:paraId="20D10295" w14:textId="77777777" w:rsidR="00074723" w:rsidRDefault="00074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2CC5" w14:textId="40DA5CF3" w:rsidR="00077587" w:rsidRDefault="00A667B7" w:rsidP="007975AA">
    <w:pPr>
      <w:pStyle w:val="Header"/>
      <w:jc w:val="center"/>
      <w:rPr>
        <w:noProof/>
        <w:lang w:eastAsia="en-GB"/>
      </w:rPr>
    </w:pPr>
    <w:r w:rsidRPr="00077587">
      <w:rPr>
        <w:rFonts w:ascii="Tahoma" w:hAnsi="Tahoma" w:cs="Tahoma"/>
        <w:noProof/>
        <w:sz w:val="18"/>
        <w:szCs w:val="18"/>
        <w:lang w:val="de-DE"/>
      </w:rPr>
      <w:drawing>
        <wp:anchor distT="0" distB="0" distL="114300" distR="114300" simplePos="0" relativeHeight="251658240" behindDoc="0" locked="0" layoutInCell="1" allowOverlap="1" wp14:anchorId="1BD29EFF" wp14:editId="1F61EE21">
          <wp:simplePos x="0" y="0"/>
          <wp:positionH relativeFrom="column">
            <wp:posOffset>4759960</wp:posOffset>
          </wp:positionH>
          <wp:positionV relativeFrom="paragraph">
            <wp:posOffset>-177800</wp:posOffset>
          </wp:positionV>
          <wp:extent cx="1434857" cy="8610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857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C2517" w14:textId="3E6EEF2D" w:rsidR="00077587" w:rsidRDefault="00077587" w:rsidP="00077587">
    <w:pPr>
      <w:pStyle w:val="Header"/>
      <w:jc w:val="cent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C6C4"/>
    <w:multiLevelType w:val="hybridMultilevel"/>
    <w:tmpl w:val="E0C6A74E"/>
    <w:lvl w:ilvl="0" w:tplc="D2A6D8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06B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29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86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A4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20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EA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6A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25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05D16"/>
    <w:multiLevelType w:val="hybridMultilevel"/>
    <w:tmpl w:val="E382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0CA95"/>
    <w:multiLevelType w:val="hybridMultilevel"/>
    <w:tmpl w:val="D0ACEFA8"/>
    <w:lvl w:ilvl="0" w:tplc="9448FF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1ED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C3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8B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69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61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A6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E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C0679"/>
    <w:multiLevelType w:val="hybridMultilevel"/>
    <w:tmpl w:val="21AC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1B3C5B"/>
    <w:multiLevelType w:val="hybridMultilevel"/>
    <w:tmpl w:val="AACC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19BF"/>
    <w:multiLevelType w:val="hybridMultilevel"/>
    <w:tmpl w:val="D9321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C36F8"/>
    <w:multiLevelType w:val="hybridMultilevel"/>
    <w:tmpl w:val="143E0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27A31"/>
    <w:multiLevelType w:val="hybridMultilevel"/>
    <w:tmpl w:val="CD34C56C"/>
    <w:lvl w:ilvl="0" w:tplc="4C92FB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22F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CF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8A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C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9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E6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A7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04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485173"/>
    <w:multiLevelType w:val="hybridMultilevel"/>
    <w:tmpl w:val="A200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D8519"/>
    <w:multiLevelType w:val="hybridMultilevel"/>
    <w:tmpl w:val="90B4E696"/>
    <w:lvl w:ilvl="0" w:tplc="938E12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B0E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00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C2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85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20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89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515174"/>
    <w:multiLevelType w:val="hybridMultilevel"/>
    <w:tmpl w:val="EB409ADC"/>
    <w:lvl w:ilvl="0" w:tplc="60DE9A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6AA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6D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A2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9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EC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27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46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85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ED9E6"/>
    <w:multiLevelType w:val="hybridMultilevel"/>
    <w:tmpl w:val="2F1E1DB6"/>
    <w:lvl w:ilvl="0" w:tplc="22FA2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CA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6C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4C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0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C3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4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EA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EF1C01"/>
    <w:multiLevelType w:val="hybridMultilevel"/>
    <w:tmpl w:val="0316B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3" w15:restartNumberingAfterBreak="0">
    <w:nsid w:val="57724971"/>
    <w:multiLevelType w:val="hybridMultilevel"/>
    <w:tmpl w:val="9604A4F8"/>
    <w:lvl w:ilvl="0" w:tplc="3558F2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789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0C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2A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07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05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03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C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0A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E34D3A"/>
    <w:multiLevelType w:val="hybridMultilevel"/>
    <w:tmpl w:val="0EB0DEA0"/>
    <w:lvl w:ilvl="0" w:tplc="458C91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44D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C8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C2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03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C5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60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1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6F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CA14F"/>
    <w:multiLevelType w:val="hybridMultilevel"/>
    <w:tmpl w:val="7AD0E120"/>
    <w:lvl w:ilvl="0" w:tplc="2E56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62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EE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0E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A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A5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E7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07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83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9767F7"/>
    <w:multiLevelType w:val="hybridMultilevel"/>
    <w:tmpl w:val="A656D318"/>
    <w:lvl w:ilvl="0" w:tplc="C2F23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6C5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EE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44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4E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8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0154B"/>
    <w:multiLevelType w:val="hybridMultilevel"/>
    <w:tmpl w:val="3BC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A9D6F"/>
    <w:multiLevelType w:val="hybridMultilevel"/>
    <w:tmpl w:val="891A3886"/>
    <w:lvl w:ilvl="0" w:tplc="E4FAEF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14B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03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A7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CD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4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EF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63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2D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DEE8"/>
    <w:multiLevelType w:val="hybridMultilevel"/>
    <w:tmpl w:val="3D10FE44"/>
    <w:lvl w:ilvl="0" w:tplc="2E3AF6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5A7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24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4E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0A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69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C3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6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05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967393270">
    <w:abstractNumId w:val="38"/>
  </w:num>
  <w:num w:numId="2" w16cid:durableId="1085150893">
    <w:abstractNumId w:val="45"/>
  </w:num>
  <w:num w:numId="3" w16cid:durableId="1621909612">
    <w:abstractNumId w:val="0"/>
  </w:num>
  <w:num w:numId="4" w16cid:durableId="769012220">
    <w:abstractNumId w:val="33"/>
  </w:num>
  <w:num w:numId="5" w16cid:durableId="1679311507">
    <w:abstractNumId w:val="39"/>
  </w:num>
  <w:num w:numId="6" w16cid:durableId="371275340">
    <w:abstractNumId w:val="18"/>
  </w:num>
  <w:num w:numId="7" w16cid:durableId="276764366">
    <w:abstractNumId w:val="22"/>
  </w:num>
  <w:num w:numId="8" w16cid:durableId="1217815810">
    <w:abstractNumId w:val="42"/>
  </w:num>
  <w:num w:numId="9" w16cid:durableId="1406220538">
    <w:abstractNumId w:val="46"/>
  </w:num>
  <w:num w:numId="10" w16cid:durableId="2057049363">
    <w:abstractNumId w:val="7"/>
  </w:num>
  <w:num w:numId="11" w16cid:durableId="1197809594">
    <w:abstractNumId w:val="24"/>
  </w:num>
  <w:num w:numId="12" w16cid:durableId="132530124">
    <w:abstractNumId w:val="26"/>
  </w:num>
  <w:num w:numId="13" w16cid:durableId="1376004742">
    <w:abstractNumId w:val="28"/>
  </w:num>
  <w:num w:numId="14" w16cid:durableId="1517424946">
    <w:abstractNumId w:val="41"/>
  </w:num>
  <w:num w:numId="15" w16cid:durableId="609245925">
    <w:abstractNumId w:val="6"/>
  </w:num>
  <w:num w:numId="16" w16cid:durableId="1822189727">
    <w:abstractNumId w:val="14"/>
  </w:num>
  <w:num w:numId="17" w16cid:durableId="1759054776">
    <w:abstractNumId w:val="36"/>
  </w:num>
  <w:num w:numId="18" w16cid:durableId="602222349">
    <w:abstractNumId w:val="8"/>
  </w:num>
  <w:num w:numId="19" w16cid:durableId="984697127">
    <w:abstractNumId w:val="34"/>
  </w:num>
  <w:num w:numId="20" w16cid:durableId="1103769425">
    <w:abstractNumId w:val="29"/>
  </w:num>
  <w:num w:numId="21" w16cid:durableId="1376739174">
    <w:abstractNumId w:val="10"/>
  </w:num>
  <w:num w:numId="22" w16cid:durableId="1858470076">
    <w:abstractNumId w:val="19"/>
  </w:num>
  <w:num w:numId="23" w16cid:durableId="2124767254">
    <w:abstractNumId w:val="37"/>
  </w:num>
  <w:num w:numId="24" w16cid:durableId="1133015001">
    <w:abstractNumId w:val="21"/>
  </w:num>
  <w:num w:numId="25" w16cid:durableId="1094864668">
    <w:abstractNumId w:val="23"/>
  </w:num>
  <w:num w:numId="26" w16cid:durableId="1833644499">
    <w:abstractNumId w:val="2"/>
  </w:num>
  <w:num w:numId="27" w16cid:durableId="1625698543">
    <w:abstractNumId w:val="11"/>
  </w:num>
  <w:num w:numId="28" w16cid:durableId="1840541574">
    <w:abstractNumId w:val="5"/>
  </w:num>
  <w:num w:numId="29" w16cid:durableId="1881042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358310">
    <w:abstractNumId w:val="25"/>
  </w:num>
  <w:num w:numId="31" w16cid:durableId="1162696557">
    <w:abstractNumId w:val="4"/>
  </w:num>
  <w:num w:numId="32" w16cid:durableId="10998387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6829185">
    <w:abstractNumId w:val="40"/>
  </w:num>
  <w:num w:numId="34" w16cid:durableId="1601404175">
    <w:abstractNumId w:val="43"/>
  </w:num>
  <w:num w:numId="35" w16cid:durableId="1878420931">
    <w:abstractNumId w:val="1"/>
  </w:num>
  <w:num w:numId="36" w16cid:durableId="1078208396">
    <w:abstractNumId w:val="35"/>
  </w:num>
  <w:num w:numId="37" w16cid:durableId="1577665441">
    <w:abstractNumId w:val="32"/>
  </w:num>
  <w:num w:numId="38" w16cid:durableId="93477420">
    <w:abstractNumId w:val="47"/>
  </w:num>
  <w:num w:numId="39" w16cid:durableId="1646664576">
    <w:abstractNumId w:val="15"/>
  </w:num>
  <w:num w:numId="40" w16cid:durableId="2108303783">
    <w:abstractNumId w:val="27"/>
  </w:num>
  <w:num w:numId="41" w16cid:durableId="172574575">
    <w:abstractNumId w:val="17"/>
  </w:num>
  <w:num w:numId="42" w16cid:durableId="1207788949">
    <w:abstractNumId w:val="30"/>
  </w:num>
  <w:num w:numId="43" w16cid:durableId="990256405">
    <w:abstractNumId w:val="44"/>
  </w:num>
  <w:num w:numId="44" w16cid:durableId="1150058260">
    <w:abstractNumId w:val="20"/>
  </w:num>
  <w:num w:numId="45" w16cid:durableId="88015489">
    <w:abstractNumId w:val="9"/>
  </w:num>
  <w:num w:numId="46" w16cid:durableId="323359314">
    <w:abstractNumId w:val="3"/>
  </w:num>
  <w:num w:numId="47" w16cid:durableId="982975875">
    <w:abstractNumId w:val="16"/>
  </w:num>
  <w:num w:numId="48" w16cid:durableId="1339694797">
    <w:abstractNumId w:val="13"/>
  </w:num>
  <w:num w:numId="49" w16cid:durableId="1368027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15AAB"/>
    <w:rsid w:val="00023D75"/>
    <w:rsid w:val="00061A0A"/>
    <w:rsid w:val="00074723"/>
    <w:rsid w:val="00077587"/>
    <w:rsid w:val="00095944"/>
    <w:rsid w:val="000A4F13"/>
    <w:rsid w:val="000B299D"/>
    <w:rsid w:val="000D0D6F"/>
    <w:rsid w:val="000E3C91"/>
    <w:rsid w:val="000F497B"/>
    <w:rsid w:val="000F6346"/>
    <w:rsid w:val="001101E6"/>
    <w:rsid w:val="00112FB6"/>
    <w:rsid w:val="0014733E"/>
    <w:rsid w:val="00160368"/>
    <w:rsid w:val="00163A3B"/>
    <w:rsid w:val="001703C0"/>
    <w:rsid w:val="00184DD9"/>
    <w:rsid w:val="001B7B1C"/>
    <w:rsid w:val="0020039E"/>
    <w:rsid w:val="0020713A"/>
    <w:rsid w:val="0023163C"/>
    <w:rsid w:val="00240F4B"/>
    <w:rsid w:val="002420F0"/>
    <w:rsid w:val="002645D0"/>
    <w:rsid w:val="0026498C"/>
    <w:rsid w:val="00272C79"/>
    <w:rsid w:val="00275D4C"/>
    <w:rsid w:val="00282BC2"/>
    <w:rsid w:val="00284A02"/>
    <w:rsid w:val="002E4A25"/>
    <w:rsid w:val="002E7731"/>
    <w:rsid w:val="002F0AFE"/>
    <w:rsid w:val="00330827"/>
    <w:rsid w:val="00375AAC"/>
    <w:rsid w:val="003915FC"/>
    <w:rsid w:val="003B6AC9"/>
    <w:rsid w:val="003B7128"/>
    <w:rsid w:val="003D6081"/>
    <w:rsid w:val="003F5364"/>
    <w:rsid w:val="0040764A"/>
    <w:rsid w:val="004107AD"/>
    <w:rsid w:val="00417B98"/>
    <w:rsid w:val="0042170F"/>
    <w:rsid w:val="0042559A"/>
    <w:rsid w:val="0043020C"/>
    <w:rsid w:val="004848CC"/>
    <w:rsid w:val="004A1F2B"/>
    <w:rsid w:val="004BCBFE"/>
    <w:rsid w:val="004E40FA"/>
    <w:rsid w:val="00501786"/>
    <w:rsid w:val="00523401"/>
    <w:rsid w:val="00526731"/>
    <w:rsid w:val="00554CD7"/>
    <w:rsid w:val="00584A16"/>
    <w:rsid w:val="005B458D"/>
    <w:rsid w:val="005D5B14"/>
    <w:rsid w:val="005F75F2"/>
    <w:rsid w:val="00620764"/>
    <w:rsid w:val="00627169"/>
    <w:rsid w:val="00641315"/>
    <w:rsid w:val="006D14B9"/>
    <w:rsid w:val="0076475B"/>
    <w:rsid w:val="00791719"/>
    <w:rsid w:val="00795F48"/>
    <w:rsid w:val="007975AA"/>
    <w:rsid w:val="007B3BDE"/>
    <w:rsid w:val="007D2251"/>
    <w:rsid w:val="007E0240"/>
    <w:rsid w:val="008219D7"/>
    <w:rsid w:val="00824371"/>
    <w:rsid w:val="00841159"/>
    <w:rsid w:val="008639BD"/>
    <w:rsid w:val="008837AB"/>
    <w:rsid w:val="00893582"/>
    <w:rsid w:val="008B01A3"/>
    <w:rsid w:val="008B35E2"/>
    <w:rsid w:val="008C57B4"/>
    <w:rsid w:val="009019E7"/>
    <w:rsid w:val="00937E0B"/>
    <w:rsid w:val="009426E6"/>
    <w:rsid w:val="0095035E"/>
    <w:rsid w:val="00950BFE"/>
    <w:rsid w:val="00965975"/>
    <w:rsid w:val="00987399"/>
    <w:rsid w:val="00992F80"/>
    <w:rsid w:val="009D4E27"/>
    <w:rsid w:val="009F3689"/>
    <w:rsid w:val="00A072A1"/>
    <w:rsid w:val="00A12E4B"/>
    <w:rsid w:val="00A13974"/>
    <w:rsid w:val="00A445A9"/>
    <w:rsid w:val="00A528E3"/>
    <w:rsid w:val="00A60D75"/>
    <w:rsid w:val="00A667B7"/>
    <w:rsid w:val="00A84269"/>
    <w:rsid w:val="00A858AA"/>
    <w:rsid w:val="00A94D86"/>
    <w:rsid w:val="00AA348C"/>
    <w:rsid w:val="00AA517F"/>
    <w:rsid w:val="00AB7A7B"/>
    <w:rsid w:val="00AE26BC"/>
    <w:rsid w:val="00AE3CCA"/>
    <w:rsid w:val="00B12695"/>
    <w:rsid w:val="00B30736"/>
    <w:rsid w:val="00B51E12"/>
    <w:rsid w:val="00B553D6"/>
    <w:rsid w:val="00B61179"/>
    <w:rsid w:val="00B94C5F"/>
    <w:rsid w:val="00B96573"/>
    <w:rsid w:val="00B9698E"/>
    <w:rsid w:val="00BD4453"/>
    <w:rsid w:val="00BD5969"/>
    <w:rsid w:val="00C14B01"/>
    <w:rsid w:val="00C2630B"/>
    <w:rsid w:val="00C26800"/>
    <w:rsid w:val="00C4670C"/>
    <w:rsid w:val="00C837AD"/>
    <w:rsid w:val="00C91CBE"/>
    <w:rsid w:val="00CA60DB"/>
    <w:rsid w:val="00CB0EF0"/>
    <w:rsid w:val="00CB0F75"/>
    <w:rsid w:val="00CF55AB"/>
    <w:rsid w:val="00D11CAF"/>
    <w:rsid w:val="00D1351B"/>
    <w:rsid w:val="00D1405C"/>
    <w:rsid w:val="00D156DE"/>
    <w:rsid w:val="00D266DC"/>
    <w:rsid w:val="00D27CC1"/>
    <w:rsid w:val="00D451E0"/>
    <w:rsid w:val="00D551A1"/>
    <w:rsid w:val="00D61725"/>
    <w:rsid w:val="00DB34B0"/>
    <w:rsid w:val="00DB3CCB"/>
    <w:rsid w:val="00DC0AD0"/>
    <w:rsid w:val="00E01018"/>
    <w:rsid w:val="00E12102"/>
    <w:rsid w:val="00E16EFF"/>
    <w:rsid w:val="00E22F58"/>
    <w:rsid w:val="00E2658C"/>
    <w:rsid w:val="00E364E8"/>
    <w:rsid w:val="00E636CC"/>
    <w:rsid w:val="00E714A7"/>
    <w:rsid w:val="00E90873"/>
    <w:rsid w:val="00EC17F1"/>
    <w:rsid w:val="00EC3673"/>
    <w:rsid w:val="00EE224C"/>
    <w:rsid w:val="00F0176F"/>
    <w:rsid w:val="00F065FB"/>
    <w:rsid w:val="00F260C5"/>
    <w:rsid w:val="00F36085"/>
    <w:rsid w:val="00F53C32"/>
    <w:rsid w:val="00F56109"/>
    <w:rsid w:val="00F62EF9"/>
    <w:rsid w:val="00F80140"/>
    <w:rsid w:val="00F83BEE"/>
    <w:rsid w:val="00F87D82"/>
    <w:rsid w:val="00FD6A0A"/>
    <w:rsid w:val="00FE39A7"/>
    <w:rsid w:val="00FF0111"/>
    <w:rsid w:val="00FF60ED"/>
    <w:rsid w:val="00FF766A"/>
    <w:rsid w:val="031CD8D7"/>
    <w:rsid w:val="05158995"/>
    <w:rsid w:val="09C4F1F8"/>
    <w:rsid w:val="12C2EE92"/>
    <w:rsid w:val="2DF15527"/>
    <w:rsid w:val="32F7A120"/>
    <w:rsid w:val="335AA6B0"/>
    <w:rsid w:val="36409054"/>
    <w:rsid w:val="479A8414"/>
    <w:rsid w:val="51221A63"/>
    <w:rsid w:val="56BED76F"/>
    <w:rsid w:val="56BEF6A4"/>
    <w:rsid w:val="58CEB59F"/>
    <w:rsid w:val="608DBD18"/>
    <w:rsid w:val="60F96334"/>
    <w:rsid w:val="61F1DB42"/>
    <w:rsid w:val="660FD92B"/>
    <w:rsid w:val="6690188E"/>
    <w:rsid w:val="6EC060A1"/>
    <w:rsid w:val="7174D998"/>
    <w:rsid w:val="71882EAD"/>
    <w:rsid w:val="76D54DE8"/>
    <w:rsid w:val="7EF28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37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112FB6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3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Amanda Roberts</cp:lastModifiedBy>
  <cp:revision>2</cp:revision>
  <cp:lastPrinted>2015-08-11T09:10:00Z</cp:lastPrinted>
  <dcterms:created xsi:type="dcterms:W3CDTF">2025-10-17T09:09:00Z</dcterms:created>
  <dcterms:modified xsi:type="dcterms:W3CDTF">2025-10-17T09:09:00Z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