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2705" w14:textId="77777777" w:rsidR="00077587" w:rsidRPr="00C308DF" w:rsidRDefault="00077587" w:rsidP="00077587">
      <w:pPr>
        <w:pStyle w:val="Header"/>
        <w:jc w:val="center"/>
        <w:rPr>
          <w:rFonts w:ascii="Avenir Next LT Pro Demi" w:hAnsi="Avenir Next LT Pro Demi"/>
          <w:sz w:val="24"/>
          <w:szCs w:val="24"/>
        </w:rPr>
      </w:pPr>
      <w:r w:rsidRPr="00C308DF">
        <w:rPr>
          <w:rFonts w:ascii="Avenir Next LT Pro Demi" w:eastAsia="Times New Roman" w:hAnsi="Avenir Next LT Pro Demi" w:cs="Times New Roman"/>
          <w:b/>
          <w:sz w:val="28"/>
          <w:szCs w:val="28"/>
          <w:lang w:eastAsia="en-GB"/>
        </w:rPr>
        <w:t>Role Description &amp; Person Profile</w:t>
      </w:r>
      <w:r w:rsidRPr="00C308DF">
        <w:rPr>
          <w:rFonts w:ascii="Avenir Next LT Pro Demi" w:hAnsi="Avenir Next LT Pro Demi"/>
          <w:noProof/>
          <w:sz w:val="32"/>
          <w:szCs w:val="32"/>
          <w:lang w:eastAsia="en-GB"/>
        </w:rPr>
        <w:t xml:space="preserve"> </w:t>
      </w:r>
    </w:p>
    <w:p w14:paraId="6214DB5B" w14:textId="77777777" w:rsidR="00077587" w:rsidRPr="008F33DF" w:rsidRDefault="00077587" w:rsidP="00C4670C">
      <w:pPr>
        <w:spacing w:after="0"/>
        <w:rPr>
          <w:rFonts w:ascii="Avenir Next LT Pro" w:eastAsia="Times New Roman" w:hAnsi="Avenir Next LT Pro" w:cs="Times New Roman"/>
          <w:b/>
          <w:sz w:val="20"/>
          <w:szCs w:val="20"/>
          <w:lang w:eastAsia="en-GB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92"/>
      </w:tblGrid>
      <w:tr w:rsidR="009F3689" w:rsidRPr="00E92205" w14:paraId="4BF2D7C0" w14:textId="77777777" w:rsidTr="5BFAF761">
        <w:tc>
          <w:tcPr>
            <w:tcW w:w="2548" w:type="dxa"/>
          </w:tcPr>
          <w:p w14:paraId="34421115" w14:textId="77777777" w:rsidR="00D451E0" w:rsidRPr="00E92205" w:rsidRDefault="00D451E0" w:rsidP="00077587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Job title:</w:t>
            </w:r>
          </w:p>
        </w:tc>
        <w:tc>
          <w:tcPr>
            <w:tcW w:w="7092" w:type="dxa"/>
            <w:vAlign w:val="bottom"/>
          </w:tcPr>
          <w:p w14:paraId="39EBB10B" w14:textId="32B4B1B2" w:rsidR="00111FC2" w:rsidRDefault="00111FC2">
            <w:pPr>
              <w:spacing w:before="40" w:after="4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venir Next LT Pro" w:hAnsi="Avenir Next LT Pro"/>
              </w:rPr>
              <w:t>Head of People &amp; Performance</w:t>
            </w:r>
            <w:r w:rsidR="00F844DF">
              <w:rPr>
                <w:rFonts w:ascii="Avenir Next LT Pro" w:hAnsi="Avenir Next LT Pro"/>
              </w:rPr>
              <w:t xml:space="preserve"> - ABN</w:t>
            </w:r>
            <w:r>
              <w:rPr>
                <w:rFonts w:ascii="Avenir Next LT Pro" w:hAnsi="Avenir Next LT Pro"/>
              </w:rPr>
              <w:t xml:space="preserve"> (12-month Fixed-Term Contract)</w:t>
            </w:r>
          </w:p>
          <w:p w14:paraId="65962413" w14:textId="7E01A08F" w:rsidR="00D451E0" w:rsidRPr="00E34313" w:rsidRDefault="00D451E0" w:rsidP="00E168F9">
            <w:pPr>
              <w:rPr>
                <w:rFonts w:ascii="Avenir Next LT Pro" w:eastAsia="Times New Roman" w:hAnsi="Avenir Next LT Pro" w:cs="Times New Roman"/>
                <w:lang w:eastAsia="en-GB"/>
              </w:rPr>
            </w:pPr>
          </w:p>
        </w:tc>
      </w:tr>
      <w:tr w:rsidR="009F3689" w:rsidRPr="00E92205" w14:paraId="2074AB57" w14:textId="77777777" w:rsidTr="5BFAF761">
        <w:tc>
          <w:tcPr>
            <w:tcW w:w="2548" w:type="dxa"/>
          </w:tcPr>
          <w:p w14:paraId="3E4BBB57" w14:textId="77777777" w:rsidR="00E12102" w:rsidRPr="00E92205" w:rsidRDefault="00E12102" w:rsidP="00077587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Reports to:</w:t>
            </w:r>
          </w:p>
        </w:tc>
        <w:tc>
          <w:tcPr>
            <w:tcW w:w="7092" w:type="dxa"/>
            <w:vAlign w:val="bottom"/>
          </w:tcPr>
          <w:p w14:paraId="7A5EC33B" w14:textId="41754F1B" w:rsidR="00E12102" w:rsidRPr="0024652F" w:rsidRDefault="007920E4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lang w:eastAsia="en-GB"/>
              </w:rPr>
              <w:t>People &amp; Performance Director – AB Agri UK</w:t>
            </w:r>
          </w:p>
        </w:tc>
      </w:tr>
      <w:tr w:rsidR="00104EE9" w:rsidRPr="00E92205" w14:paraId="12659DC1" w14:textId="77777777" w:rsidTr="5BFAF761">
        <w:tc>
          <w:tcPr>
            <w:tcW w:w="2548" w:type="dxa"/>
          </w:tcPr>
          <w:p w14:paraId="36DDFAA7" w14:textId="77777777" w:rsidR="00104EE9" w:rsidRPr="00E92205" w:rsidRDefault="00104EE9" w:rsidP="00104EE9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Location:</w:t>
            </w:r>
          </w:p>
        </w:tc>
        <w:tc>
          <w:tcPr>
            <w:tcW w:w="7092" w:type="dxa"/>
            <w:vAlign w:val="center"/>
          </w:tcPr>
          <w:p w14:paraId="7CE5AE88" w14:textId="2A3EBE9F" w:rsidR="00104EE9" w:rsidRPr="000338DA" w:rsidRDefault="000338DA" w:rsidP="00F844DF">
            <w:pPr>
              <w:spacing w:before="40" w:after="4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venir Next LT Pro" w:hAnsi="Avenir Next LT Pro"/>
              </w:rPr>
              <w:t>TBC - UK (regular travel required)</w:t>
            </w:r>
          </w:p>
        </w:tc>
      </w:tr>
      <w:tr w:rsidR="00104EE9" w:rsidRPr="00E92205" w14:paraId="519475EB" w14:textId="77777777" w:rsidTr="5BFAF761">
        <w:tc>
          <w:tcPr>
            <w:tcW w:w="2548" w:type="dxa"/>
          </w:tcPr>
          <w:p w14:paraId="09962585" w14:textId="382D8F37" w:rsidR="00104EE9" w:rsidRPr="00E92205" w:rsidRDefault="00104EE9" w:rsidP="00104EE9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Direct &amp; Indirect Reports:</w:t>
            </w:r>
          </w:p>
        </w:tc>
        <w:tc>
          <w:tcPr>
            <w:tcW w:w="7092" w:type="dxa"/>
          </w:tcPr>
          <w:p w14:paraId="5F0F6320" w14:textId="4C2E1BD1" w:rsidR="009839E9" w:rsidRDefault="0022215A">
            <w:pPr>
              <w:spacing w:before="40" w:after="4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kern w:val="2"/>
                <w:lang w:eastAsia="en-GB"/>
                <w14:ligatures w14:val="standardContextual"/>
              </w:rPr>
              <w:t>None</w:t>
            </w:r>
          </w:p>
          <w:p w14:paraId="1225DCCE" w14:textId="2833C73A" w:rsidR="00104EE9" w:rsidRPr="0024652F" w:rsidRDefault="00104EE9" w:rsidP="00104EE9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</w:p>
        </w:tc>
      </w:tr>
      <w:tr w:rsidR="00104EE9" w:rsidRPr="00E92205" w14:paraId="2CBCFB81" w14:textId="77777777" w:rsidTr="5BFAF761">
        <w:tc>
          <w:tcPr>
            <w:tcW w:w="2548" w:type="dxa"/>
          </w:tcPr>
          <w:p w14:paraId="3C3315E7" w14:textId="715526A7" w:rsidR="00104EE9" w:rsidRPr="00E92205" w:rsidRDefault="00104EE9" w:rsidP="00104EE9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>Role Overview</w:t>
            </w:r>
          </w:p>
        </w:tc>
        <w:tc>
          <w:tcPr>
            <w:tcW w:w="7092" w:type="dxa"/>
            <w:vAlign w:val="bottom"/>
          </w:tcPr>
          <w:p w14:paraId="1A8E94BB" w14:textId="700115C8" w:rsidR="00D804BA" w:rsidRDefault="00111FC2" w:rsidP="00E8076C">
            <w:pPr>
              <w:spacing w:after="0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This role </w:t>
            </w:r>
            <w:r w:rsidR="0050584C">
              <w:rPr>
                <w:rFonts w:ascii="Avenir Next LT Pro" w:hAnsi="Avenir Next LT Pro"/>
              </w:rPr>
              <w:t>leads</w:t>
            </w:r>
            <w:r>
              <w:rPr>
                <w:rFonts w:ascii="Avenir Next LT Pro" w:hAnsi="Avenir Next LT Pro"/>
              </w:rPr>
              <w:t xml:space="preserve"> the people </w:t>
            </w:r>
            <w:r w:rsidR="007063E3">
              <w:rPr>
                <w:rFonts w:ascii="Avenir Next LT Pro" w:hAnsi="Avenir Next LT Pro"/>
              </w:rPr>
              <w:t>agenda</w:t>
            </w:r>
            <w:r>
              <w:rPr>
                <w:rFonts w:ascii="Avenir Next LT Pro" w:hAnsi="Avenir Next LT Pro"/>
              </w:rPr>
              <w:t xml:space="preserve"> for a </w:t>
            </w:r>
            <w:r w:rsidR="007063E3">
              <w:rPr>
                <w:rFonts w:ascii="Avenir Next LT Pro" w:hAnsi="Avenir Next LT Pro"/>
              </w:rPr>
              <w:t xml:space="preserve">change </w:t>
            </w:r>
            <w:r>
              <w:rPr>
                <w:rFonts w:ascii="Avenir Next LT Pro" w:hAnsi="Avenir Next LT Pro"/>
              </w:rPr>
              <w:t xml:space="preserve">programme involving </w:t>
            </w:r>
            <w:r w:rsidR="00E46935">
              <w:rPr>
                <w:rFonts w:ascii="Avenir Next LT Pro" w:hAnsi="Avenir Next LT Pro"/>
              </w:rPr>
              <w:t xml:space="preserve">our UK </w:t>
            </w:r>
            <w:r w:rsidR="00347DF2">
              <w:rPr>
                <w:rFonts w:ascii="Avenir Next LT Pro" w:hAnsi="Avenir Next LT Pro"/>
              </w:rPr>
              <w:t xml:space="preserve">compound feed </w:t>
            </w:r>
            <w:r>
              <w:rPr>
                <w:rFonts w:ascii="Avenir Next LT Pro" w:hAnsi="Avenir Next LT Pro"/>
              </w:rPr>
              <w:t>mills, ensuring business continuity, legal compliance and constructive engagement with Unite. You will partner closely with Operations, Lega</w:t>
            </w:r>
            <w:r w:rsidR="007063E3">
              <w:rPr>
                <w:rFonts w:ascii="Avenir Next LT Pro" w:hAnsi="Avenir Next LT Pro"/>
              </w:rPr>
              <w:t xml:space="preserve">l, </w:t>
            </w:r>
            <w:r>
              <w:rPr>
                <w:rFonts w:ascii="Avenir Next LT Pro" w:hAnsi="Avenir Next LT Pro"/>
              </w:rPr>
              <w:t>Finance and site leadership to plan and deliver change, manage consultation, protect industrial relations and maintain a safe, engaged workforce throughout transition.</w:t>
            </w:r>
          </w:p>
          <w:p w14:paraId="0EDC1923" w14:textId="7878FC25" w:rsidR="00E8076C" w:rsidRPr="00E8076C" w:rsidRDefault="00E8076C" w:rsidP="00E8076C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</w:p>
        </w:tc>
      </w:tr>
      <w:tr w:rsidR="00104EE9" w:rsidRPr="00E92205" w14:paraId="7F3D92A7" w14:textId="77777777" w:rsidTr="5BFAF761">
        <w:tc>
          <w:tcPr>
            <w:tcW w:w="2548" w:type="dxa"/>
          </w:tcPr>
          <w:p w14:paraId="477CA338" w14:textId="0C631BA4" w:rsidR="00104EE9" w:rsidRPr="00E92205" w:rsidRDefault="00104EE9" w:rsidP="00104EE9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t xml:space="preserve">Key Responsibilities: </w:t>
            </w:r>
          </w:p>
        </w:tc>
        <w:tc>
          <w:tcPr>
            <w:tcW w:w="7092" w:type="dxa"/>
            <w:vAlign w:val="bottom"/>
          </w:tcPr>
          <w:p w14:paraId="2DBF92A6" w14:textId="1866BF09" w:rsidR="009839E9" w:rsidRDefault="009839E9" w:rsidP="00EE27BB">
            <w:pPr>
              <w:numPr>
                <w:ilvl w:val="0"/>
                <w:numId w:val="12"/>
              </w:numPr>
              <w:spacing w:before="40" w:after="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venir Next LT Pro" w:hAnsi="Avenir Next LT Pro"/>
              </w:rPr>
              <w:t xml:space="preserve">Lead end-to-end change management </w:t>
            </w:r>
            <w:r w:rsidR="008D69AC">
              <w:rPr>
                <w:rFonts w:ascii="Avenir Next LT Pro" w:hAnsi="Avenir Next LT Pro"/>
              </w:rPr>
              <w:t>programme</w:t>
            </w:r>
            <w:r w:rsidR="00311D6E">
              <w:rPr>
                <w:rFonts w:ascii="Avenir Next LT Pro" w:hAnsi="Avenir Next LT Pro"/>
              </w:rPr>
              <w:t xml:space="preserve"> for the peop</w:t>
            </w:r>
            <w:r>
              <w:rPr>
                <w:rFonts w:ascii="Avenir Next LT Pro" w:hAnsi="Avenir Next LT Pro"/>
              </w:rPr>
              <w:t>le workstream (including governance, plans, RAID and stakeholder management).</w:t>
            </w:r>
          </w:p>
          <w:p w14:paraId="2FDF5B98" w14:textId="1830931B" w:rsidR="00EE27BB" w:rsidRDefault="00EE27BB" w:rsidP="00EE27BB">
            <w:pPr>
              <w:numPr>
                <w:ilvl w:val="0"/>
                <w:numId w:val="12"/>
              </w:num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 w:rsidRPr="5BFAF761">
              <w:rPr>
                <w:rFonts w:ascii="Avenir Next LT Pro" w:hAnsi="Avenir Next LT Pro"/>
              </w:rPr>
              <w:t>Support people aspects of corporate restructuring, including potential hive-down activity (e.g., supporting entity structuring decisions, documentation inputs, and people impacts in partnership with Legal and Finance)</w:t>
            </w:r>
            <w:r w:rsidR="75E2DCEE" w:rsidRPr="5BFAF761">
              <w:rPr>
                <w:rFonts w:ascii="Avenir Next LT Pro" w:hAnsi="Avenir Next LT Pro"/>
              </w:rPr>
              <w:t xml:space="preserve"> and all people activities needed to support any potential </w:t>
            </w:r>
            <w:r w:rsidR="5802A6BB" w:rsidRPr="5BFAF761">
              <w:rPr>
                <w:rFonts w:ascii="Avenir Next LT Pro" w:hAnsi="Avenir Next LT Pro"/>
              </w:rPr>
              <w:t>redundancy programmes</w:t>
            </w:r>
            <w:r w:rsidRPr="5BFAF761">
              <w:rPr>
                <w:rFonts w:ascii="Avenir Next LT Pro" w:hAnsi="Avenir Next LT Pro"/>
              </w:rPr>
              <w:t>.</w:t>
            </w:r>
          </w:p>
          <w:p w14:paraId="1C81CCA0" w14:textId="0A179406" w:rsidR="00111FC2" w:rsidRDefault="002A681E" w:rsidP="00EE27BB">
            <w:pPr>
              <w:numPr>
                <w:ilvl w:val="0"/>
                <w:numId w:val="12"/>
              </w:numPr>
              <w:spacing w:after="4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venir Next LT Pro" w:hAnsi="Avenir Next LT Pro"/>
              </w:rPr>
              <w:t>Deliver</w:t>
            </w:r>
            <w:r w:rsidR="00111FC2">
              <w:rPr>
                <w:rFonts w:ascii="Avenir Next LT Pro" w:hAnsi="Avenir Next LT Pro"/>
              </w:rPr>
              <w:t xml:space="preserve"> the </w:t>
            </w:r>
            <w:r>
              <w:rPr>
                <w:rFonts w:ascii="Avenir Next LT Pro" w:hAnsi="Avenir Next LT Pro"/>
              </w:rPr>
              <w:t>industrial</w:t>
            </w:r>
            <w:r w:rsidR="00111FC2">
              <w:rPr>
                <w:rFonts w:ascii="Avenir Next LT Pro" w:hAnsi="Avenir Next LT Pro"/>
              </w:rPr>
              <w:t xml:space="preserve"> relations strategy, including engagement with Unite</w:t>
            </w:r>
            <w:r>
              <w:rPr>
                <w:rFonts w:ascii="Avenir Next LT Pro" w:hAnsi="Avenir Next LT Pro"/>
              </w:rPr>
              <w:t>,</w:t>
            </w:r>
            <w:r w:rsidR="00111FC2">
              <w:rPr>
                <w:rFonts w:ascii="Avenir Next LT Pro" w:hAnsi="Avenir Next LT Pro"/>
              </w:rPr>
              <w:t xml:space="preserve"> maintaining constructive relationships and effective communication.</w:t>
            </w:r>
          </w:p>
          <w:p w14:paraId="6B7174F0" w14:textId="17BEC2D9" w:rsidR="00E168F9" w:rsidRDefault="00E168F9" w:rsidP="00E168F9">
            <w:pPr>
              <w:numPr>
                <w:ilvl w:val="0"/>
                <w:numId w:val="12"/>
              </w:numPr>
              <w:spacing w:before="40" w:after="40" w:line="240" w:lineRule="auto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venir Next LT Pro" w:hAnsi="Avenir Next LT Pro"/>
              </w:rPr>
              <w:t>Lead all collective and individual consultation activity (including potential TUPE implications), ensuring compliance with relevant UK employment law and internal policies</w:t>
            </w:r>
            <w:r w:rsidR="0022215A">
              <w:rPr>
                <w:rFonts w:ascii="Avenir Next LT Pro" w:hAnsi="Avenir Next LT Pro"/>
              </w:rPr>
              <w:t xml:space="preserve"> and using internal</w:t>
            </w:r>
            <w:r w:rsidR="0027204F">
              <w:rPr>
                <w:rFonts w:ascii="Avenir Next LT Pro" w:hAnsi="Avenir Next LT Pro"/>
              </w:rPr>
              <w:t xml:space="preserve"> centres of excellence and shared services resources </w:t>
            </w:r>
            <w:r w:rsidR="007628C5">
              <w:rPr>
                <w:rFonts w:ascii="Avenir Next LT Pro" w:hAnsi="Avenir Next LT Pro"/>
              </w:rPr>
              <w:t>to execute activity</w:t>
            </w:r>
            <w:r w:rsidR="00FD3509">
              <w:rPr>
                <w:rFonts w:ascii="Avenir Next LT Pro" w:hAnsi="Avenir Next LT Pro"/>
              </w:rPr>
              <w:t xml:space="preserve"> and working with Head of People Relations</w:t>
            </w:r>
            <w:r w:rsidR="007628C5">
              <w:rPr>
                <w:rFonts w:ascii="Avenir Next LT Pro" w:hAnsi="Avenir Next LT Pro"/>
              </w:rPr>
              <w:t>.</w:t>
            </w:r>
          </w:p>
          <w:p w14:paraId="3A1E3521" w14:textId="3EFD1D49" w:rsidR="009839E9" w:rsidRDefault="009839E9" w:rsidP="009839E9">
            <w:pPr>
              <w:numPr>
                <w:ilvl w:val="0"/>
                <w:numId w:val="12"/>
              </w:numPr>
              <w:spacing w:before="40" w:after="40" w:line="240" w:lineRule="auto"/>
            </w:pPr>
            <w:r>
              <w:rPr>
                <w:rFonts w:ascii="Avenir Next LT Pro" w:hAnsi="Avenir Next LT Pro"/>
              </w:rPr>
              <w:t xml:space="preserve">Provide strategic advice and coaching to leaders and site managers on </w:t>
            </w:r>
            <w:r w:rsidR="00E64A41">
              <w:rPr>
                <w:rFonts w:ascii="Avenir Next LT Pro" w:hAnsi="Avenir Next LT Pro"/>
              </w:rPr>
              <w:t>r</w:t>
            </w:r>
            <w:r>
              <w:rPr>
                <w:rFonts w:ascii="Avenir Next LT Pro" w:hAnsi="Avenir Next LT Pro"/>
              </w:rPr>
              <w:t>isk, industrial relations, negotiations and dispute resolution.</w:t>
            </w:r>
          </w:p>
          <w:p w14:paraId="33E90A0E" w14:textId="01CBB2E5" w:rsidR="009839E9" w:rsidRDefault="009839E9" w:rsidP="009839E9">
            <w:pPr>
              <w:numPr>
                <w:ilvl w:val="0"/>
                <w:numId w:val="12"/>
              </w:numPr>
              <w:spacing w:before="40" w:after="40" w:line="240" w:lineRule="auto"/>
            </w:pPr>
            <w:r>
              <w:rPr>
                <w:rFonts w:ascii="Avenir Next LT Pro" w:hAnsi="Avenir Next LT Pro"/>
              </w:rPr>
              <w:t>Develop and implement communication and engagement plans for affected colleagues across multiple sites</w:t>
            </w:r>
            <w:r w:rsidR="00E64A41">
              <w:rPr>
                <w:rFonts w:ascii="Avenir Next LT Pro" w:hAnsi="Avenir Next LT Pro"/>
              </w:rPr>
              <w:t>.</w:t>
            </w:r>
          </w:p>
          <w:p w14:paraId="0E33977A" w14:textId="13F96849" w:rsidR="009839E9" w:rsidRDefault="009839E9" w:rsidP="009839E9">
            <w:pPr>
              <w:numPr>
                <w:ilvl w:val="0"/>
                <w:numId w:val="12"/>
              </w:numPr>
              <w:spacing w:before="40" w:after="40" w:line="240" w:lineRule="auto"/>
            </w:pPr>
            <w:r>
              <w:rPr>
                <w:rFonts w:ascii="Avenir Next LT Pro" w:hAnsi="Avenir Next LT Pro"/>
              </w:rPr>
              <w:t>Support workforce planning during transition (roles, structures</w:t>
            </w:r>
            <w:r w:rsidR="00E734B5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>and retention).</w:t>
            </w:r>
          </w:p>
          <w:p w14:paraId="3501F333" w14:textId="77777777" w:rsidR="009839E9" w:rsidRDefault="009839E9" w:rsidP="009839E9">
            <w:pPr>
              <w:numPr>
                <w:ilvl w:val="0"/>
                <w:numId w:val="12"/>
              </w:numPr>
              <w:spacing w:before="40" w:after="40" w:line="240" w:lineRule="auto"/>
            </w:pPr>
            <w:r>
              <w:rPr>
                <w:rFonts w:ascii="Avenir Next LT Pro" w:hAnsi="Avenir Next LT Pro"/>
              </w:rPr>
              <w:t>Partner with Health &amp; Safety and Operations to ensure people change plans align with safe systems of work and site risk controls.</w:t>
            </w:r>
          </w:p>
          <w:p w14:paraId="50704CC2" w14:textId="0AE90CAD" w:rsidR="00D804BA" w:rsidRPr="005B5A7B" w:rsidRDefault="009839E9" w:rsidP="005B5A7B">
            <w:pPr>
              <w:numPr>
                <w:ilvl w:val="0"/>
                <w:numId w:val="12"/>
              </w:numPr>
              <w:spacing w:before="40" w:after="40" w:line="240" w:lineRule="auto"/>
            </w:pPr>
            <w:r>
              <w:rPr>
                <w:rFonts w:ascii="Avenir Next LT Pro" w:hAnsi="Avenir Next LT Pro"/>
              </w:rPr>
              <w:lastRenderedPageBreak/>
              <w:t>Maintain clear reporting and progress updates to programme governance, highlighting key IR risks, mitigation actions and decision points.</w:t>
            </w:r>
          </w:p>
        </w:tc>
      </w:tr>
      <w:tr w:rsidR="00104EE9" w:rsidRPr="00E92205" w14:paraId="4F624AE0" w14:textId="77777777" w:rsidTr="5BFAF761">
        <w:tc>
          <w:tcPr>
            <w:tcW w:w="2548" w:type="dxa"/>
          </w:tcPr>
          <w:p w14:paraId="5F5F8A04" w14:textId="69B887C3" w:rsidR="00104EE9" w:rsidRPr="00E92205" w:rsidRDefault="00104EE9" w:rsidP="00104EE9">
            <w:pPr>
              <w:spacing w:before="40" w:after="40" w:line="240" w:lineRule="auto"/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</w:pPr>
            <w:r w:rsidRPr="00E92205">
              <w:rPr>
                <w:rFonts w:ascii="Avenir Next LT Pro Demi" w:eastAsia="Times New Roman" w:hAnsi="Avenir Next LT Pro Demi" w:cs="Times New Roman"/>
                <w:bCs/>
                <w:sz w:val="24"/>
                <w:szCs w:val="24"/>
                <w:lang w:eastAsia="en-GB"/>
              </w:rPr>
              <w:lastRenderedPageBreak/>
              <w:t>Budget Responsibility:</w:t>
            </w:r>
          </w:p>
        </w:tc>
        <w:tc>
          <w:tcPr>
            <w:tcW w:w="7092" w:type="dxa"/>
            <w:vAlign w:val="bottom"/>
          </w:tcPr>
          <w:p w14:paraId="47E42620" w14:textId="3361D51A" w:rsidR="009839E9" w:rsidRPr="005B5A7B" w:rsidRDefault="005B5A7B">
            <w:pPr>
              <w:spacing w:after="0" w:line="240" w:lineRule="auto"/>
              <w:rPr>
                <w:kern w:val="2"/>
                <w:lang w:eastAsia="en-GB"/>
                <w14:ligatures w14:val="standardContextual"/>
              </w:rPr>
            </w:pPr>
            <w:r w:rsidRPr="005B5A7B">
              <w:rPr>
                <w:rFonts w:ascii="Avenir Next LT Pro" w:hAnsi="Avenir Next LT Pro"/>
              </w:rPr>
              <w:t>None</w:t>
            </w:r>
          </w:p>
          <w:p w14:paraId="6F3E9836" w14:textId="2554B52E" w:rsidR="00104EE9" w:rsidRPr="00E92205" w:rsidRDefault="00104EE9" w:rsidP="00104EE9">
            <w:pPr>
              <w:spacing w:before="40" w:after="40" w:line="240" w:lineRule="auto"/>
              <w:contextualSpacing/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p w14:paraId="19D3F98E" w14:textId="2BBC0A79" w:rsidR="00CF55AB" w:rsidRPr="00E92205" w:rsidRDefault="00CF55AB" w:rsidP="00272C79">
      <w:pPr>
        <w:tabs>
          <w:tab w:val="left" w:pos="1655"/>
        </w:tabs>
        <w:spacing w:after="0"/>
        <w:rPr>
          <w:rFonts w:ascii="Avenir Next LT Pro" w:hAnsi="Avenir Next LT Pro"/>
          <w:sz w:val="24"/>
          <w:szCs w:val="24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320"/>
        <w:gridCol w:w="7320"/>
      </w:tblGrid>
      <w:tr w:rsidR="00A12E4B" w:rsidRPr="00E92205" w14:paraId="05469A3E" w14:textId="77777777" w:rsidTr="00F87D82">
        <w:tc>
          <w:tcPr>
            <w:tcW w:w="9640" w:type="dxa"/>
            <w:gridSpan w:val="2"/>
            <w:shd w:val="clear" w:color="auto" w:fill="D9D9D9"/>
          </w:tcPr>
          <w:p w14:paraId="33F2460E" w14:textId="51F5F35C" w:rsidR="00A12E4B" w:rsidRPr="00E92205" w:rsidRDefault="00A12E4B" w:rsidP="00A12E4B">
            <w:pPr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 xml:space="preserve">Person Profile/Knowledge </w:t>
            </w:r>
          </w:p>
          <w:p w14:paraId="70764BCB" w14:textId="77777777" w:rsidR="00A12E4B" w:rsidRPr="00E92205" w:rsidRDefault="00A12E4B" w:rsidP="00A12E4B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" w:hAnsi="Avenir Next LT Pro"/>
                <w:bCs/>
              </w:rPr>
              <w:t>Experience, any formal qualifications and necessary keys areas of knowledge or experience.</w:t>
            </w:r>
          </w:p>
        </w:tc>
      </w:tr>
      <w:tr w:rsidR="009839E9" w14:paraId="243B15F1" w14:textId="77777777" w:rsidTr="009839E9">
        <w:tc>
          <w:tcPr>
            <w:tcW w:w="9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B4D3F" w14:textId="30EE2864" w:rsidR="009839E9" w:rsidRDefault="009839E9" w:rsidP="009839E9">
            <w:pPr>
              <w:numPr>
                <w:ilvl w:val="0"/>
                <w:numId w:val="43"/>
              </w:numPr>
              <w:spacing w:before="40" w:after="40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venir Next LT Pro" w:hAnsi="Avenir Next LT Pro"/>
              </w:rPr>
              <w:t>Significant senior HR experience in a unionised, operational/industrial environment (manufacturing or similar).</w:t>
            </w:r>
          </w:p>
          <w:p w14:paraId="4F1F4333" w14:textId="42CCC2CF" w:rsidR="009839E9" w:rsidRDefault="009839E9" w:rsidP="0026182B">
            <w:pPr>
              <w:numPr>
                <w:ilvl w:val="0"/>
                <w:numId w:val="43"/>
              </w:numPr>
              <w:spacing w:before="40"/>
            </w:pPr>
            <w:r>
              <w:rPr>
                <w:rFonts w:ascii="Avenir Next LT Pro" w:hAnsi="Avenir Next LT Pro"/>
              </w:rPr>
              <w:t>Proven track record leading complex change programmes.</w:t>
            </w:r>
          </w:p>
          <w:p w14:paraId="3B166D3F" w14:textId="4A37991B" w:rsidR="0026182B" w:rsidRPr="0026182B" w:rsidRDefault="0026182B" w:rsidP="0026182B">
            <w:pPr>
              <w:numPr>
                <w:ilvl w:val="0"/>
                <w:numId w:val="43"/>
              </w:numPr>
            </w:pPr>
            <w:r>
              <w:rPr>
                <w:rFonts w:ascii="Avenir Next LT Pro" w:hAnsi="Avenir Next LT Pro"/>
              </w:rPr>
              <w:t>Experience supporting corporate restructures including hive-downs (e.g., creation/transfer of operations into a new legal entity), working closely with Legal and Finance to manage people and consultation impacts.</w:t>
            </w:r>
          </w:p>
          <w:p w14:paraId="512781E0" w14:textId="77777777" w:rsidR="00111FC2" w:rsidRDefault="00111FC2" w:rsidP="0026182B">
            <w:pPr>
              <w:numPr>
                <w:ilvl w:val="0"/>
                <w:numId w:val="43"/>
              </w:numPr>
              <w:spacing w:after="40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venir Next LT Pro" w:hAnsi="Avenir Next LT Pro"/>
              </w:rPr>
              <w:t>Deep expertise in UK employee relations and industrial relations, including collective consultation, negotiations, dispute management and relationship building with Unite.</w:t>
            </w:r>
          </w:p>
          <w:p w14:paraId="10C9D89A" w14:textId="2CDBC210" w:rsidR="00E168F9" w:rsidRDefault="00E168F9" w:rsidP="00E168F9">
            <w:pPr>
              <w:numPr>
                <w:ilvl w:val="0"/>
                <w:numId w:val="43"/>
              </w:numPr>
              <w:spacing w:before="40" w:after="40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venir Next LT Pro" w:hAnsi="Avenir Next LT Pro"/>
              </w:rPr>
              <w:t>Strong working knowledge of UK employment law, including potential TUPE implications and redundancy/collective consultation obligations.</w:t>
            </w:r>
          </w:p>
          <w:p w14:paraId="41EAACF7" w14:textId="3E7B4600" w:rsidR="009839E9" w:rsidRDefault="009839E9" w:rsidP="009839E9">
            <w:pPr>
              <w:numPr>
                <w:ilvl w:val="0"/>
                <w:numId w:val="43"/>
              </w:numPr>
              <w:spacing w:before="40" w:after="40"/>
            </w:pPr>
            <w:r>
              <w:rPr>
                <w:rFonts w:ascii="Avenir Next LT Pro" w:hAnsi="Avenir Next LT Pro"/>
              </w:rPr>
              <w:t>Experience executing communication and engagement plans through periods of uncertainty, creating clear and consistent messages.</w:t>
            </w:r>
          </w:p>
          <w:p w14:paraId="62FA4BB5" w14:textId="77777777" w:rsidR="009839E9" w:rsidRDefault="009839E9" w:rsidP="009839E9">
            <w:pPr>
              <w:numPr>
                <w:ilvl w:val="0"/>
                <w:numId w:val="43"/>
              </w:numPr>
              <w:spacing w:before="40" w:after="40"/>
            </w:pPr>
            <w:r>
              <w:rPr>
                <w:rFonts w:ascii="Avenir Next LT Pro" w:hAnsi="Avenir Next LT Pro"/>
              </w:rPr>
              <w:t>Ability to balance pace and pragmatism with rigour, confidentiality and governance within a programme environment.</w:t>
            </w:r>
          </w:p>
          <w:p w14:paraId="5D9124BC" w14:textId="2E1411FD" w:rsidR="009839E9" w:rsidRPr="009C04BE" w:rsidRDefault="009839E9" w:rsidP="009C04BE">
            <w:pPr>
              <w:numPr>
                <w:ilvl w:val="0"/>
                <w:numId w:val="43"/>
              </w:numPr>
              <w:spacing w:before="40" w:after="40"/>
            </w:pPr>
            <w:r>
              <w:rPr>
                <w:rFonts w:ascii="Avenir Next LT Pro" w:hAnsi="Avenir Next LT Pro"/>
              </w:rPr>
              <w:t>Demonstrable capability influencing senior stakeholders and working collaboratively across functions and multiple sites.</w:t>
            </w:r>
          </w:p>
        </w:tc>
      </w:tr>
      <w:tr w:rsidR="00A12E4B" w:rsidRPr="00E92205" w14:paraId="19EE2AF4" w14:textId="77777777" w:rsidTr="00077587">
        <w:tc>
          <w:tcPr>
            <w:tcW w:w="2320" w:type="dxa"/>
          </w:tcPr>
          <w:p w14:paraId="3E08EDAB" w14:textId="13B7018D" w:rsidR="00A12E4B" w:rsidRPr="00E92205" w:rsidRDefault="00A12E4B" w:rsidP="005F75F2">
            <w:pPr>
              <w:spacing w:before="40" w:after="40"/>
              <w:rPr>
                <w:rFonts w:ascii="Avenir Next LT Pro Demi" w:hAnsi="Avenir Next LT Pro Demi"/>
                <w:b/>
                <w:bCs/>
                <w:sz w:val="24"/>
                <w:szCs w:val="24"/>
              </w:rPr>
            </w:pPr>
            <w:r w:rsidRPr="00E92205">
              <w:rPr>
                <w:rFonts w:ascii="Avenir Next LT Pro Demi" w:hAnsi="Avenir Next LT Pro Demi"/>
                <w:b/>
                <w:bCs/>
                <w:sz w:val="24"/>
                <w:szCs w:val="24"/>
              </w:rPr>
              <w:t>Key Behaviours</w:t>
            </w:r>
          </w:p>
        </w:tc>
        <w:tc>
          <w:tcPr>
            <w:tcW w:w="7320" w:type="dxa"/>
          </w:tcPr>
          <w:p w14:paraId="53CA6618" w14:textId="77777777" w:rsidR="009839E9" w:rsidRDefault="009839E9" w:rsidP="009839E9">
            <w:pPr>
              <w:numPr>
                <w:ilvl w:val="0"/>
                <w:numId w:val="33"/>
              </w:numPr>
              <w:spacing w:before="40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venir Next LT Pro" w:hAnsi="Avenir Next LT Pro"/>
              </w:rPr>
              <w:t>Calm, credible and resilient under pressure; able to lead through ambiguity and competing priorities.</w:t>
            </w:r>
          </w:p>
          <w:p w14:paraId="5B746A95" w14:textId="77777777" w:rsidR="009839E9" w:rsidRDefault="009839E9" w:rsidP="009839E9">
            <w:pPr>
              <w:numPr>
                <w:ilvl w:val="0"/>
                <w:numId w:val="33"/>
              </w:num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venir Next LT Pro" w:hAnsi="Avenir Next LT Pro"/>
              </w:rPr>
              <w:t>Commercial and pragmatic; focuses on outcomes while managing risk appropriately.</w:t>
            </w:r>
          </w:p>
          <w:p w14:paraId="2F4E6196" w14:textId="77777777" w:rsidR="009839E9" w:rsidRDefault="009839E9" w:rsidP="009839E9">
            <w:pPr>
              <w:numPr>
                <w:ilvl w:val="0"/>
                <w:numId w:val="33"/>
              </w:num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venir Next LT Pro" w:hAnsi="Avenir Next LT Pro"/>
              </w:rPr>
              <w:t>Highly effective communicator; able to translate complex issues into clear, consistent messages for different audiences.</w:t>
            </w:r>
          </w:p>
          <w:p w14:paraId="7406090E" w14:textId="77777777" w:rsidR="009839E9" w:rsidRDefault="009839E9" w:rsidP="009839E9">
            <w:pPr>
              <w:numPr>
                <w:ilvl w:val="0"/>
                <w:numId w:val="33"/>
              </w:num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venir Next LT Pro" w:hAnsi="Avenir Next LT Pro"/>
              </w:rPr>
              <w:t>Skilled negotiator with high integrity; builds trust with unions, leaders and colleagues.</w:t>
            </w:r>
          </w:p>
          <w:p w14:paraId="2E2895A4" w14:textId="77777777" w:rsidR="009839E9" w:rsidRDefault="009839E9" w:rsidP="009839E9">
            <w:pPr>
              <w:numPr>
                <w:ilvl w:val="0"/>
                <w:numId w:val="33"/>
              </w:num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venir Next LT Pro" w:hAnsi="Avenir Next LT Pro"/>
              </w:rPr>
              <w:t>Collaborative and visible; works confidently across sites and functions and role-models fairness and respect.</w:t>
            </w:r>
          </w:p>
          <w:p w14:paraId="01E06E25" w14:textId="66AF14AF" w:rsidR="00F12652" w:rsidRPr="0024652F" w:rsidRDefault="00F12652" w:rsidP="00111FC2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</w:tbl>
    <w:p w14:paraId="67EA9A6C" w14:textId="276F88A5" w:rsidR="00A12E4B" w:rsidRPr="008F33DF" w:rsidRDefault="00A12E4B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1459C8F1" w14:textId="77777777" w:rsidR="00C56D28" w:rsidRDefault="00C56D28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p w14:paraId="68B18CFE" w14:textId="77777777" w:rsidR="00E92205" w:rsidRPr="008F33DF" w:rsidRDefault="00E92205" w:rsidP="00272C79">
      <w:pPr>
        <w:tabs>
          <w:tab w:val="left" w:pos="1655"/>
        </w:tabs>
        <w:spacing w:after="0"/>
        <w:rPr>
          <w:rFonts w:ascii="Avenir Next LT Pro" w:hAnsi="Avenir Next LT Pro"/>
          <w:sz w:val="20"/>
          <w:szCs w:val="20"/>
        </w:rPr>
      </w:pPr>
    </w:p>
    <w:sectPr w:rsidR="00E92205" w:rsidRPr="008F33DF" w:rsidSect="00E92205">
      <w:footerReference w:type="default" r:id="rId10"/>
      <w:headerReference w:type="first" r:id="rId11"/>
      <w:footerReference w:type="first" r:id="rId12"/>
      <w:pgSz w:w="11906" w:h="16838"/>
      <w:pgMar w:top="1843" w:right="1440" w:bottom="1440" w:left="1440" w:header="568" w:footer="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5768" w14:textId="77777777" w:rsidR="00080222" w:rsidRDefault="00080222" w:rsidP="0020039E">
      <w:pPr>
        <w:spacing w:after="0" w:line="240" w:lineRule="auto"/>
      </w:pPr>
      <w:r>
        <w:separator/>
      </w:r>
    </w:p>
  </w:endnote>
  <w:endnote w:type="continuationSeparator" w:id="0">
    <w:p w14:paraId="16EDB05D" w14:textId="77777777" w:rsidR="00080222" w:rsidRDefault="00080222" w:rsidP="002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8C30" w14:textId="2468BBE5" w:rsidR="00C308DF" w:rsidRDefault="00C308DF" w:rsidP="00C308DF">
    <w:pPr>
      <w:pStyle w:val="Footer"/>
      <w:jc w:val="cen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7AB50A3D" w14:textId="61AC3EEC" w:rsidR="00C308DF" w:rsidRDefault="00C308DF" w:rsidP="00C308DF">
    <w:pPr>
      <w:pStyle w:val="Footer"/>
      <w:jc w:val="center"/>
      <w:rPr>
        <w:b/>
        <w:bCs/>
      </w:rPr>
    </w:pPr>
    <w:r>
      <w:rPr>
        <w:rFonts w:ascii="Tahoma" w:hAnsi="Tahoma" w:cs="Tahoma"/>
        <w:noProof/>
        <w:color w:val="004B8D"/>
        <w:sz w:val="14"/>
        <w:szCs w:val="14"/>
        <w:lang w:val="de-DE"/>
      </w:rPr>
      <w:drawing>
        <wp:inline distT="0" distB="0" distL="0" distR="0" wp14:anchorId="27F6CEE2" wp14:editId="460D8EF3">
          <wp:extent cx="5731510" cy="762000"/>
          <wp:effectExtent l="0" t="0" r="2540" b="0"/>
          <wp:docPr id="7" name="Picture 7" descr="A group of logos with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0394B83-F096-4839-8A35-F203F0092E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logos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6C35" w14:textId="77777777" w:rsidR="00E92205" w:rsidRDefault="00E92205" w:rsidP="00E92205">
    <w:pPr>
      <w:pStyle w:val="Footer"/>
      <w:jc w:val="center"/>
    </w:pPr>
  </w:p>
  <w:p w14:paraId="4D60A29B" w14:textId="49A0D806" w:rsidR="00E92205" w:rsidRPr="00E92205" w:rsidRDefault="00E92205" w:rsidP="00E92205">
    <w:pPr>
      <w:pStyle w:val="Footer"/>
      <w:jc w:val="center"/>
      <w:rPr>
        <w:rFonts w:ascii="Avenir Next LT Pro" w:hAnsi="Avenir Next LT Pro"/>
        <w:sz w:val="20"/>
        <w:szCs w:val="20"/>
      </w:rPr>
    </w:pPr>
    <w:r w:rsidRPr="00E92205">
      <w:rPr>
        <w:rFonts w:ascii="Avenir Next LT Pro" w:hAnsi="Avenir Next LT Pro"/>
        <w:sz w:val="20"/>
        <w:szCs w:val="20"/>
      </w:rPr>
      <w:t xml:space="preserve">Page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1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  <w:r w:rsidRPr="00E92205">
      <w:rPr>
        <w:rFonts w:ascii="Avenir Next LT Pro" w:hAnsi="Avenir Next LT Pro"/>
        <w:sz w:val="20"/>
        <w:szCs w:val="20"/>
      </w:rPr>
      <w:t xml:space="preserve"> of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2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072B" w14:textId="77777777" w:rsidR="00080222" w:rsidRDefault="00080222" w:rsidP="0020039E">
      <w:pPr>
        <w:spacing w:after="0" w:line="240" w:lineRule="auto"/>
      </w:pPr>
      <w:r>
        <w:separator/>
      </w:r>
    </w:p>
  </w:footnote>
  <w:footnote w:type="continuationSeparator" w:id="0">
    <w:p w14:paraId="263BB516" w14:textId="77777777" w:rsidR="00080222" w:rsidRDefault="00080222" w:rsidP="002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E444" w14:textId="5E1B8B64" w:rsidR="00C308DF" w:rsidRDefault="00C308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BF625A" wp14:editId="71CA67D2">
          <wp:simplePos x="0" y="0"/>
          <wp:positionH relativeFrom="column">
            <wp:posOffset>4162425</wp:posOffset>
          </wp:positionH>
          <wp:positionV relativeFrom="paragraph">
            <wp:posOffset>-208280</wp:posOffset>
          </wp:positionV>
          <wp:extent cx="2227580" cy="946150"/>
          <wp:effectExtent l="0" t="0" r="1270" b="6350"/>
          <wp:wrapSquare wrapText="bothSides"/>
          <wp:docPr id="8" name="Picture 8" descr="A green and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B4CC9A6-9252-4C92-9A01-C8C778F8108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green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58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602"/>
    <w:multiLevelType w:val="hybridMultilevel"/>
    <w:tmpl w:val="DD2A1A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2433A"/>
    <w:multiLevelType w:val="hybridMultilevel"/>
    <w:tmpl w:val="91FC0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874CD"/>
    <w:multiLevelType w:val="multilevel"/>
    <w:tmpl w:val="48F6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30037"/>
    <w:multiLevelType w:val="hybridMultilevel"/>
    <w:tmpl w:val="1CAA275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327E9"/>
    <w:multiLevelType w:val="hybridMultilevel"/>
    <w:tmpl w:val="7FFE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9006B9"/>
    <w:multiLevelType w:val="hybridMultilevel"/>
    <w:tmpl w:val="57E21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77592A"/>
    <w:multiLevelType w:val="hybridMultilevel"/>
    <w:tmpl w:val="DA768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E2323"/>
    <w:multiLevelType w:val="hybridMultilevel"/>
    <w:tmpl w:val="7B3E9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416988"/>
    <w:multiLevelType w:val="hybridMultilevel"/>
    <w:tmpl w:val="A218E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85485"/>
    <w:multiLevelType w:val="multilevel"/>
    <w:tmpl w:val="4EDA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64636"/>
    <w:multiLevelType w:val="hybridMultilevel"/>
    <w:tmpl w:val="0FD4929C"/>
    <w:lvl w:ilvl="0" w:tplc="8038467A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A2C39"/>
    <w:multiLevelType w:val="hybridMultilevel"/>
    <w:tmpl w:val="905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54704"/>
    <w:multiLevelType w:val="multilevel"/>
    <w:tmpl w:val="5A24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11E75"/>
    <w:multiLevelType w:val="hybridMultilevel"/>
    <w:tmpl w:val="2A02F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E95B9A"/>
    <w:multiLevelType w:val="hybridMultilevel"/>
    <w:tmpl w:val="EF4CF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2C757C"/>
    <w:multiLevelType w:val="hybridMultilevel"/>
    <w:tmpl w:val="B4780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64014C"/>
    <w:multiLevelType w:val="hybridMultilevel"/>
    <w:tmpl w:val="F4BA4EBC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A360E4"/>
    <w:multiLevelType w:val="multilevel"/>
    <w:tmpl w:val="A806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D676DA"/>
    <w:multiLevelType w:val="hybridMultilevel"/>
    <w:tmpl w:val="CBAABF4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A17A01"/>
    <w:multiLevelType w:val="hybridMultilevel"/>
    <w:tmpl w:val="89E6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A0E48"/>
    <w:multiLevelType w:val="multilevel"/>
    <w:tmpl w:val="19D8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05766A"/>
    <w:multiLevelType w:val="hybridMultilevel"/>
    <w:tmpl w:val="26A4D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9C6893"/>
    <w:multiLevelType w:val="multilevel"/>
    <w:tmpl w:val="4F20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977384"/>
    <w:multiLevelType w:val="hybridMultilevel"/>
    <w:tmpl w:val="BABAF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E952E8"/>
    <w:multiLevelType w:val="hybridMultilevel"/>
    <w:tmpl w:val="52364852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414619"/>
    <w:multiLevelType w:val="singleLevel"/>
    <w:tmpl w:val="F1144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28" w15:restartNumberingAfterBreak="0">
    <w:nsid w:val="58975714"/>
    <w:multiLevelType w:val="multilevel"/>
    <w:tmpl w:val="A23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B527D7"/>
    <w:multiLevelType w:val="hybridMultilevel"/>
    <w:tmpl w:val="55621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C27AC7"/>
    <w:multiLevelType w:val="hybridMultilevel"/>
    <w:tmpl w:val="07BAD5E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5D1796"/>
    <w:multiLevelType w:val="hybridMultilevel"/>
    <w:tmpl w:val="B77C982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D02EAE"/>
    <w:multiLevelType w:val="multilevel"/>
    <w:tmpl w:val="2614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4C2CEB"/>
    <w:multiLevelType w:val="multilevel"/>
    <w:tmpl w:val="BD46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B14C1A"/>
    <w:multiLevelType w:val="multilevel"/>
    <w:tmpl w:val="A376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502E95"/>
    <w:multiLevelType w:val="hybridMultilevel"/>
    <w:tmpl w:val="80082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9271D2"/>
    <w:multiLevelType w:val="hybridMultilevel"/>
    <w:tmpl w:val="A368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36C30"/>
    <w:multiLevelType w:val="hybridMultilevel"/>
    <w:tmpl w:val="552E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43C36"/>
    <w:multiLevelType w:val="hybridMultilevel"/>
    <w:tmpl w:val="2924C1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641BE"/>
    <w:multiLevelType w:val="hybridMultilevel"/>
    <w:tmpl w:val="A5F89B8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C0575F"/>
    <w:multiLevelType w:val="multilevel"/>
    <w:tmpl w:val="1AA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675DAD"/>
    <w:multiLevelType w:val="hybridMultilevel"/>
    <w:tmpl w:val="190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10393"/>
    <w:multiLevelType w:val="multilevel"/>
    <w:tmpl w:val="C0CE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245639"/>
    <w:multiLevelType w:val="multilevel"/>
    <w:tmpl w:val="3328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BC7E46"/>
    <w:multiLevelType w:val="singleLevel"/>
    <w:tmpl w:val="36C6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num w:numId="1" w16cid:durableId="1034117410">
    <w:abstractNumId w:val="36"/>
  </w:num>
  <w:num w:numId="2" w16cid:durableId="1078208396">
    <w:abstractNumId w:val="30"/>
  </w:num>
  <w:num w:numId="3" w16cid:durableId="1093091562">
    <w:abstractNumId w:val="6"/>
  </w:num>
  <w:num w:numId="4" w16cid:durableId="1094864668">
    <w:abstractNumId w:val="18"/>
  </w:num>
  <w:num w:numId="5" w16cid:durableId="109983875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3769425">
    <w:abstractNumId w:val="25"/>
  </w:num>
  <w:num w:numId="7" w16cid:durableId="1122502682">
    <w:abstractNumId w:val="43"/>
  </w:num>
  <w:num w:numId="8" w16cid:durableId="1133015001">
    <w:abstractNumId w:val="17"/>
  </w:num>
  <w:num w:numId="9" w16cid:durableId="1138498832">
    <w:abstractNumId w:val="42"/>
  </w:num>
  <w:num w:numId="10" w16cid:durableId="1162696557">
    <w:abstractNumId w:val="3"/>
  </w:num>
  <w:num w:numId="11" w16cid:durableId="1237933297">
    <w:abstractNumId w:val="28"/>
  </w:num>
  <w:num w:numId="12" w16cid:durableId="1318731277">
    <w:abstractNumId w:val="19"/>
  </w:num>
  <w:num w:numId="13" w16cid:durableId="1376004742">
    <w:abstractNumId w:val="23"/>
  </w:num>
  <w:num w:numId="14" w16cid:durableId="1376739174">
    <w:abstractNumId w:val="8"/>
  </w:num>
  <w:num w:numId="15" w16cid:durableId="1517424946">
    <w:abstractNumId w:val="39"/>
  </w:num>
  <w:num w:numId="16" w16cid:durableId="1566990023">
    <w:abstractNumId w:val="34"/>
  </w:num>
  <w:num w:numId="17" w16cid:durableId="1577665441">
    <w:abstractNumId w:val="27"/>
  </w:num>
  <w:num w:numId="18" w16cid:durableId="1601404175">
    <w:abstractNumId w:val="41"/>
  </w:num>
  <w:num w:numId="19" w16cid:durableId="1625698543">
    <w:abstractNumId w:val="9"/>
  </w:num>
  <w:num w:numId="20" w16cid:durableId="1646664576">
    <w:abstractNumId w:val="13"/>
  </w:num>
  <w:num w:numId="21" w16cid:durableId="172574575">
    <w:abstractNumId w:val="15"/>
  </w:num>
  <w:num w:numId="22" w16cid:durableId="1726829185">
    <w:abstractNumId w:val="38"/>
  </w:num>
  <w:num w:numId="23" w16cid:durableId="1759054776">
    <w:abstractNumId w:val="31"/>
  </w:num>
  <w:num w:numId="24" w16cid:durableId="1822189727">
    <w:abstractNumId w:val="12"/>
  </w:num>
  <w:num w:numId="25" w16cid:durableId="1833644499">
    <w:abstractNumId w:val="1"/>
  </w:num>
  <w:num w:numId="26" w16cid:durableId="1840541574">
    <w:abstractNumId w:val="4"/>
  </w:num>
  <w:num w:numId="27" w16cid:durableId="1858470076">
    <w:abstractNumId w:val="16"/>
  </w:num>
  <w:num w:numId="28" w16cid:durableId="1878420931">
    <w:abstractNumId w:val="0"/>
  </w:num>
  <w:num w:numId="29" w16cid:durableId="1881042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5863281">
    <w:abstractNumId w:val="10"/>
  </w:num>
  <w:num w:numId="31" w16cid:durableId="1981619025">
    <w:abstractNumId w:val="33"/>
  </w:num>
  <w:num w:numId="32" w16cid:durableId="2094549423">
    <w:abstractNumId w:val="22"/>
  </w:num>
  <w:num w:numId="33" w16cid:durableId="2108303783">
    <w:abstractNumId w:val="21"/>
  </w:num>
  <w:num w:numId="34" w16cid:durableId="2124767254">
    <w:abstractNumId w:val="35"/>
  </w:num>
  <w:num w:numId="35" w16cid:durableId="53358310">
    <w:abstractNumId w:val="20"/>
  </w:num>
  <w:num w:numId="36" w16cid:durableId="580868798">
    <w:abstractNumId w:val="37"/>
  </w:num>
  <w:num w:numId="37" w16cid:durableId="602222349">
    <w:abstractNumId w:val="7"/>
  </w:num>
  <w:num w:numId="38" w16cid:durableId="609245925">
    <w:abstractNumId w:val="5"/>
  </w:num>
  <w:num w:numId="39" w16cid:durableId="666904933">
    <w:abstractNumId w:val="40"/>
  </w:num>
  <w:num w:numId="40" w16cid:durableId="758910279">
    <w:abstractNumId w:val="32"/>
  </w:num>
  <w:num w:numId="41" w16cid:durableId="781146675">
    <w:abstractNumId w:val="11"/>
  </w:num>
  <w:num w:numId="42" w16cid:durableId="78842176">
    <w:abstractNumId w:val="2"/>
  </w:num>
  <w:num w:numId="43" w16cid:durableId="791441645">
    <w:abstractNumId w:val="14"/>
  </w:num>
  <w:num w:numId="44" w16cid:durableId="872693747">
    <w:abstractNumId w:val="24"/>
  </w:num>
  <w:num w:numId="45" w16cid:durableId="93477420">
    <w:abstractNumId w:val="44"/>
  </w:num>
  <w:num w:numId="46" w16cid:durableId="9846971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9E"/>
    <w:rsid w:val="00000D6F"/>
    <w:rsid w:val="00025322"/>
    <w:rsid w:val="00025BD0"/>
    <w:rsid w:val="000325A3"/>
    <w:rsid w:val="000338DA"/>
    <w:rsid w:val="000463B5"/>
    <w:rsid w:val="00061A0A"/>
    <w:rsid w:val="00077587"/>
    <w:rsid w:val="00080222"/>
    <w:rsid w:val="00090F35"/>
    <w:rsid w:val="000A104E"/>
    <w:rsid w:val="000A38F5"/>
    <w:rsid w:val="000A4F13"/>
    <w:rsid w:val="000B299D"/>
    <w:rsid w:val="000C18D5"/>
    <w:rsid w:val="000D0D6F"/>
    <w:rsid w:val="000E3C91"/>
    <w:rsid w:val="000F497B"/>
    <w:rsid w:val="000F723A"/>
    <w:rsid w:val="00104EE9"/>
    <w:rsid w:val="0011056E"/>
    <w:rsid w:val="00111FC2"/>
    <w:rsid w:val="001237D0"/>
    <w:rsid w:val="00127121"/>
    <w:rsid w:val="00163A3B"/>
    <w:rsid w:val="00167BE8"/>
    <w:rsid w:val="0017067A"/>
    <w:rsid w:val="00184DD9"/>
    <w:rsid w:val="00187440"/>
    <w:rsid w:val="001B1533"/>
    <w:rsid w:val="001B7B1C"/>
    <w:rsid w:val="001C1298"/>
    <w:rsid w:val="001C314C"/>
    <w:rsid w:val="001D46D3"/>
    <w:rsid w:val="001E0AEC"/>
    <w:rsid w:val="001E5FB9"/>
    <w:rsid w:val="0020039E"/>
    <w:rsid w:val="0020713A"/>
    <w:rsid w:val="00212109"/>
    <w:rsid w:val="0022215A"/>
    <w:rsid w:val="0023163C"/>
    <w:rsid w:val="00240F4B"/>
    <w:rsid w:val="0024652F"/>
    <w:rsid w:val="00253196"/>
    <w:rsid w:val="0026182B"/>
    <w:rsid w:val="002645D0"/>
    <w:rsid w:val="0027204F"/>
    <w:rsid w:val="00272C79"/>
    <w:rsid w:val="00275D4C"/>
    <w:rsid w:val="00284A02"/>
    <w:rsid w:val="00296F9D"/>
    <w:rsid w:val="00297AA2"/>
    <w:rsid w:val="002A681E"/>
    <w:rsid w:val="002B071C"/>
    <w:rsid w:val="002E4A25"/>
    <w:rsid w:val="002F0AFE"/>
    <w:rsid w:val="00311D6E"/>
    <w:rsid w:val="00330827"/>
    <w:rsid w:val="00347DF2"/>
    <w:rsid w:val="00357175"/>
    <w:rsid w:val="00375AAC"/>
    <w:rsid w:val="00387A67"/>
    <w:rsid w:val="00392AB3"/>
    <w:rsid w:val="003B6AC9"/>
    <w:rsid w:val="003B7128"/>
    <w:rsid w:val="003C30B7"/>
    <w:rsid w:val="003D0BCB"/>
    <w:rsid w:val="003D11BC"/>
    <w:rsid w:val="003F5364"/>
    <w:rsid w:val="0040764A"/>
    <w:rsid w:val="004107AD"/>
    <w:rsid w:val="0042170F"/>
    <w:rsid w:val="0042559A"/>
    <w:rsid w:val="00454123"/>
    <w:rsid w:val="00471D70"/>
    <w:rsid w:val="004725E6"/>
    <w:rsid w:val="00482823"/>
    <w:rsid w:val="004848CC"/>
    <w:rsid w:val="004919F5"/>
    <w:rsid w:val="004A3B7C"/>
    <w:rsid w:val="004B5A84"/>
    <w:rsid w:val="004C72C2"/>
    <w:rsid w:val="004E50E9"/>
    <w:rsid w:val="00501786"/>
    <w:rsid w:val="0050584C"/>
    <w:rsid w:val="00517106"/>
    <w:rsid w:val="00523401"/>
    <w:rsid w:val="00541FA8"/>
    <w:rsid w:val="005534E5"/>
    <w:rsid w:val="00554CD7"/>
    <w:rsid w:val="0056419E"/>
    <w:rsid w:val="00586225"/>
    <w:rsid w:val="005B5A7B"/>
    <w:rsid w:val="005C6BCB"/>
    <w:rsid w:val="005E5258"/>
    <w:rsid w:val="005F263D"/>
    <w:rsid w:val="005F75F2"/>
    <w:rsid w:val="00620764"/>
    <w:rsid w:val="00627169"/>
    <w:rsid w:val="00631270"/>
    <w:rsid w:val="00633283"/>
    <w:rsid w:val="00637230"/>
    <w:rsid w:val="00641315"/>
    <w:rsid w:val="00656D6C"/>
    <w:rsid w:val="00667685"/>
    <w:rsid w:val="006755B4"/>
    <w:rsid w:val="0069189E"/>
    <w:rsid w:val="006A7BE3"/>
    <w:rsid w:val="006D14B9"/>
    <w:rsid w:val="006F04D6"/>
    <w:rsid w:val="007049D6"/>
    <w:rsid w:val="007063E3"/>
    <w:rsid w:val="0074385C"/>
    <w:rsid w:val="00745AA5"/>
    <w:rsid w:val="00750622"/>
    <w:rsid w:val="00760E07"/>
    <w:rsid w:val="007628C5"/>
    <w:rsid w:val="00765DDE"/>
    <w:rsid w:val="0077440E"/>
    <w:rsid w:val="00790836"/>
    <w:rsid w:val="0079124C"/>
    <w:rsid w:val="00791719"/>
    <w:rsid w:val="007920E4"/>
    <w:rsid w:val="007975AA"/>
    <w:rsid w:val="007B3BDE"/>
    <w:rsid w:val="007B61A9"/>
    <w:rsid w:val="007D2251"/>
    <w:rsid w:val="00802BA6"/>
    <w:rsid w:val="008219D7"/>
    <w:rsid w:val="00824371"/>
    <w:rsid w:val="00837AA5"/>
    <w:rsid w:val="0085271E"/>
    <w:rsid w:val="008639BD"/>
    <w:rsid w:val="0088154F"/>
    <w:rsid w:val="008837AB"/>
    <w:rsid w:val="00893582"/>
    <w:rsid w:val="008A4F85"/>
    <w:rsid w:val="008B01A3"/>
    <w:rsid w:val="008B271C"/>
    <w:rsid w:val="008C2D3A"/>
    <w:rsid w:val="008C57B4"/>
    <w:rsid w:val="008D0790"/>
    <w:rsid w:val="008D69AC"/>
    <w:rsid w:val="008E3AA8"/>
    <w:rsid w:val="008E5FDD"/>
    <w:rsid w:val="008F33DF"/>
    <w:rsid w:val="008F565A"/>
    <w:rsid w:val="009019E7"/>
    <w:rsid w:val="00917E69"/>
    <w:rsid w:val="00922C2D"/>
    <w:rsid w:val="009426E6"/>
    <w:rsid w:val="00950BFE"/>
    <w:rsid w:val="00965975"/>
    <w:rsid w:val="00973D86"/>
    <w:rsid w:val="009839E9"/>
    <w:rsid w:val="009A5947"/>
    <w:rsid w:val="009C04BE"/>
    <w:rsid w:val="009C6967"/>
    <w:rsid w:val="009D4E27"/>
    <w:rsid w:val="009D6CB3"/>
    <w:rsid w:val="009F3689"/>
    <w:rsid w:val="009F77B1"/>
    <w:rsid w:val="009F7B3C"/>
    <w:rsid w:val="00A12E4B"/>
    <w:rsid w:val="00A13974"/>
    <w:rsid w:val="00A445A9"/>
    <w:rsid w:val="00A46C7C"/>
    <w:rsid w:val="00A55BA8"/>
    <w:rsid w:val="00A56D7B"/>
    <w:rsid w:val="00A60D75"/>
    <w:rsid w:val="00A667B7"/>
    <w:rsid w:val="00A72069"/>
    <w:rsid w:val="00A77D01"/>
    <w:rsid w:val="00A858AA"/>
    <w:rsid w:val="00AC0ADF"/>
    <w:rsid w:val="00AE2E22"/>
    <w:rsid w:val="00B06965"/>
    <w:rsid w:val="00B12695"/>
    <w:rsid w:val="00B142EB"/>
    <w:rsid w:val="00B24D09"/>
    <w:rsid w:val="00B30736"/>
    <w:rsid w:val="00B312C0"/>
    <w:rsid w:val="00B36CF3"/>
    <w:rsid w:val="00B51E12"/>
    <w:rsid w:val="00B553D6"/>
    <w:rsid w:val="00B63893"/>
    <w:rsid w:val="00B74946"/>
    <w:rsid w:val="00B94C5F"/>
    <w:rsid w:val="00B96573"/>
    <w:rsid w:val="00BD2331"/>
    <w:rsid w:val="00BD38BB"/>
    <w:rsid w:val="00BD4453"/>
    <w:rsid w:val="00C14B01"/>
    <w:rsid w:val="00C157D0"/>
    <w:rsid w:val="00C166DB"/>
    <w:rsid w:val="00C22D68"/>
    <w:rsid w:val="00C2774E"/>
    <w:rsid w:val="00C308DF"/>
    <w:rsid w:val="00C31770"/>
    <w:rsid w:val="00C4670C"/>
    <w:rsid w:val="00C550F2"/>
    <w:rsid w:val="00C56D28"/>
    <w:rsid w:val="00C75200"/>
    <w:rsid w:val="00C837AD"/>
    <w:rsid w:val="00C91CBE"/>
    <w:rsid w:val="00C95BD2"/>
    <w:rsid w:val="00CA1011"/>
    <w:rsid w:val="00CA6FAA"/>
    <w:rsid w:val="00CB0EF0"/>
    <w:rsid w:val="00CD5FC7"/>
    <w:rsid w:val="00CE108E"/>
    <w:rsid w:val="00CF23D4"/>
    <w:rsid w:val="00CF55AB"/>
    <w:rsid w:val="00D1405C"/>
    <w:rsid w:val="00D156DE"/>
    <w:rsid w:val="00D23BE2"/>
    <w:rsid w:val="00D266DC"/>
    <w:rsid w:val="00D27CC1"/>
    <w:rsid w:val="00D451E0"/>
    <w:rsid w:val="00D76FDC"/>
    <w:rsid w:val="00D804BA"/>
    <w:rsid w:val="00DA7CAA"/>
    <w:rsid w:val="00DB718B"/>
    <w:rsid w:val="00E12102"/>
    <w:rsid w:val="00E14E2C"/>
    <w:rsid w:val="00E168F9"/>
    <w:rsid w:val="00E16EFF"/>
    <w:rsid w:val="00E25A4B"/>
    <w:rsid w:val="00E2658C"/>
    <w:rsid w:val="00E30D6C"/>
    <w:rsid w:val="00E34313"/>
    <w:rsid w:val="00E364E8"/>
    <w:rsid w:val="00E41F22"/>
    <w:rsid w:val="00E46935"/>
    <w:rsid w:val="00E636CC"/>
    <w:rsid w:val="00E64A41"/>
    <w:rsid w:val="00E714A7"/>
    <w:rsid w:val="00E734B5"/>
    <w:rsid w:val="00E8076C"/>
    <w:rsid w:val="00E80D6D"/>
    <w:rsid w:val="00E90873"/>
    <w:rsid w:val="00E92205"/>
    <w:rsid w:val="00E9401D"/>
    <w:rsid w:val="00ED515D"/>
    <w:rsid w:val="00EE224C"/>
    <w:rsid w:val="00EE27BB"/>
    <w:rsid w:val="00EE6791"/>
    <w:rsid w:val="00EF0251"/>
    <w:rsid w:val="00F0176F"/>
    <w:rsid w:val="00F10A07"/>
    <w:rsid w:val="00F11D32"/>
    <w:rsid w:val="00F12652"/>
    <w:rsid w:val="00F160CF"/>
    <w:rsid w:val="00F171C7"/>
    <w:rsid w:val="00F260C5"/>
    <w:rsid w:val="00F37870"/>
    <w:rsid w:val="00F41903"/>
    <w:rsid w:val="00F53C32"/>
    <w:rsid w:val="00F54C92"/>
    <w:rsid w:val="00F62EF9"/>
    <w:rsid w:val="00F70B3A"/>
    <w:rsid w:val="00F80140"/>
    <w:rsid w:val="00F844DF"/>
    <w:rsid w:val="00F87D82"/>
    <w:rsid w:val="00F96C60"/>
    <w:rsid w:val="00FA66AB"/>
    <w:rsid w:val="00FB6977"/>
    <w:rsid w:val="00FD16A8"/>
    <w:rsid w:val="00FD3509"/>
    <w:rsid w:val="00FE39A7"/>
    <w:rsid w:val="00FE5CE8"/>
    <w:rsid w:val="00FF60ED"/>
    <w:rsid w:val="00FF766A"/>
    <w:rsid w:val="02A07BB5"/>
    <w:rsid w:val="16E437BD"/>
    <w:rsid w:val="1A11A93D"/>
    <w:rsid w:val="1B487985"/>
    <w:rsid w:val="20EC76D5"/>
    <w:rsid w:val="229A1EA3"/>
    <w:rsid w:val="44E6A41F"/>
    <w:rsid w:val="4848F0BB"/>
    <w:rsid w:val="5797FD3C"/>
    <w:rsid w:val="5802A6BB"/>
    <w:rsid w:val="5BFAF761"/>
    <w:rsid w:val="5D9DE0C4"/>
    <w:rsid w:val="642A3275"/>
    <w:rsid w:val="75E2DCEE"/>
    <w:rsid w:val="768EAE22"/>
    <w:rsid w:val="790238A4"/>
    <w:rsid w:val="7AE27394"/>
    <w:rsid w:val="7D6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3F987"/>
  <w15:docId w15:val="{566AC8A0-275A-4C47-9F42-E9790DC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9E"/>
  </w:style>
  <w:style w:type="paragraph" w:styleId="Footer">
    <w:name w:val="footer"/>
    <w:basedOn w:val="Normal"/>
    <w:link w:val="Foot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9E"/>
  </w:style>
  <w:style w:type="paragraph" w:styleId="BalloonText">
    <w:name w:val="Balloon Text"/>
    <w:basedOn w:val="Normal"/>
    <w:link w:val="BalloonTextChar"/>
    <w:uiPriority w:val="99"/>
    <w:semiHidden/>
    <w:unhideWhenUsed/>
    <w:rsid w:val="0020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1E0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styleId="ListBullet">
    <w:name w:val="List Bullet"/>
    <w:basedOn w:val="Normal"/>
    <w:qFormat/>
    <w:rsid w:val="003B7128"/>
    <w:pPr>
      <w:numPr>
        <w:numId w:val="17"/>
      </w:numPr>
      <w:tabs>
        <w:tab w:val="left" w:pos="360"/>
      </w:tabs>
      <w:spacing w:after="0" w:line="240" w:lineRule="auto"/>
    </w:pPr>
    <w:rPr>
      <w:rFonts w:ascii="Century Gothic" w:eastAsia="Century Gothic" w:hAnsi="Century Gothic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al"/>
    <w:qFormat/>
    <w:rsid w:val="003B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A1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4652F"/>
    <w:pPr>
      <w:spacing w:after="0" w:line="240" w:lineRule="auto"/>
    </w:pPr>
  </w:style>
  <w:style w:type="paragraph" w:styleId="Revision">
    <w:name w:val="Revision"/>
    <w:hidden/>
    <w:uiPriority w:val="99"/>
    <w:semiHidden/>
    <w:rsid w:val="000325A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1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9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9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9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6E44CCDF8704689F4DDE2E4DE9525" ma:contentTypeVersion="2" ma:contentTypeDescription="Create a new document." ma:contentTypeScope="" ma:versionID="2fa12b4302a7b312261f6d4f0543216f">
  <xsd:schema xmlns:xsd="http://www.w3.org/2001/XMLSchema" xmlns:xs="http://www.w3.org/2001/XMLSchema" xmlns:p="http://schemas.microsoft.com/office/2006/metadata/properties" xmlns:ns2="120502e3-25b0-4daf-8996-71466e0d44c4" targetNamespace="http://schemas.microsoft.com/office/2006/metadata/properties" ma:root="true" ma:fieldsID="cc9d13c720ce6e703bb46fc7ce791ea0" ns2:_="">
    <xsd:import namespace="120502e3-25b0-4daf-8996-71466e0d44c4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emplat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02e3-25b0-4daf-8996-71466e0d44c4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internalName="Region">
      <xsd:simpleType>
        <xsd:restriction base="dms:Text">
          <xsd:maxLength value="255"/>
        </xsd:restriction>
      </xsd:simpleType>
    </xsd:element>
    <xsd:element name="Template_x0020_Type" ma:index="9" nillable="true" ma:displayName="Template Type" ma:format="Dropdown" ma:internalName="Template_x0020_Type">
      <xsd:simpleType>
        <xsd:restriction base="dms:Choice">
          <xsd:enumeration value="1. Stationery"/>
          <xsd:enumeration value="2. Presentations"/>
          <xsd:enumeration value="3. Logos"/>
          <xsd:enumeration value="4.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120502e3-25b0-4daf-8996-71466e0d44c4">1. Stationery</Template_x0020_Type>
    <Region xmlns="120502e3-25b0-4daf-8996-71466e0d44c4">EMEA</Reg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E2AC6-401E-49C2-8994-B08B0FCA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502e3-25b0-4daf-8996-71466e0d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AFC70-97F5-4BAD-A7E6-D6E4A97B98FF}">
  <ds:schemaRefs>
    <ds:schemaRef ds:uri="http://schemas.microsoft.com/office/2006/metadata/properties"/>
    <ds:schemaRef ds:uri="http://schemas.microsoft.com/office/infopath/2007/PartnerControls"/>
    <ds:schemaRef ds:uri="120502e3-25b0-4daf-8996-71466e0d44c4"/>
  </ds:schemaRefs>
</ds:datastoreItem>
</file>

<file path=customXml/itemProps3.xml><?xml version="1.0" encoding="utf-8"?>
<ds:datastoreItem xmlns:ds="http://schemas.openxmlformats.org/officeDocument/2006/customXml" ds:itemID="{C2AFB309-1CE1-4AA6-8B67-E59E393417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494</Words>
  <Characters>3391</Characters>
  <Application>Microsoft Office Word</Application>
  <DocSecurity>0</DocSecurity>
  <Lines>92</Lines>
  <Paragraphs>39</Paragraphs>
  <ScaleCrop>false</ScaleCrop>
  <Company>Interpublic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Laura (LDN-ICC)</dc:creator>
  <cp:keywords/>
  <cp:lastModifiedBy>Matt Cannon</cp:lastModifiedBy>
  <cp:revision>15</cp:revision>
  <cp:lastPrinted>2024-05-14T16:39:00Z</cp:lastPrinted>
  <dcterms:created xsi:type="dcterms:W3CDTF">2026-04-27T18:49:00Z</dcterms:created>
  <dcterms:modified xsi:type="dcterms:W3CDTF">2026-04-28T08:48:00Z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0x0101000816E44CCDF8704689F4DDE2E4DE9525</vt:lpwstr>
  </property>
  <property fmtid="{D5CDD505-2E9C-101B-9397-08002B2CF9AE}" pid="3" name="Order">
    <vt:r8>1100</vt:r8>
  </property>
</Properties>
</file>