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3F8A" w14:textId="2DD3E959" w:rsidR="007975AA" w:rsidRPr="00F4567E" w:rsidRDefault="007975AA" w:rsidP="00C4670C">
      <w:pPr>
        <w:spacing w:after="0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D451E0" w:rsidRPr="00F4567E" w14:paraId="4E9E9189" w14:textId="77777777" w:rsidTr="008837AB">
        <w:tc>
          <w:tcPr>
            <w:tcW w:w="2548" w:type="dxa"/>
            <w:shd w:val="clear" w:color="auto" w:fill="999999"/>
            <w:vAlign w:val="bottom"/>
          </w:tcPr>
          <w:p w14:paraId="018E570C" w14:textId="77777777" w:rsidR="00D451E0" w:rsidRPr="00F4567E" w:rsidRDefault="00D451E0" w:rsidP="00C4670C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Role Description</w:t>
            </w:r>
          </w:p>
        </w:tc>
        <w:tc>
          <w:tcPr>
            <w:tcW w:w="7092" w:type="dxa"/>
            <w:shd w:val="clear" w:color="auto" w:fill="999999"/>
            <w:vAlign w:val="bottom"/>
          </w:tcPr>
          <w:p w14:paraId="4CAE1D15" w14:textId="77777777" w:rsidR="00D451E0" w:rsidRPr="00F4567E" w:rsidRDefault="00D451E0" w:rsidP="00C4670C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9F3689" w:rsidRPr="00F4567E" w14:paraId="4BF2D7C0" w14:textId="77777777" w:rsidTr="004E52B0">
        <w:tc>
          <w:tcPr>
            <w:tcW w:w="2548" w:type="dxa"/>
          </w:tcPr>
          <w:p w14:paraId="34421115" w14:textId="77777777" w:rsidR="00D451E0" w:rsidRPr="00F4567E" w:rsidRDefault="00D451E0" w:rsidP="004E52B0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15AC0431" w:rsidR="00D451E0" w:rsidRPr="00F4567E" w:rsidRDefault="00813291" w:rsidP="00780297">
            <w:pPr>
              <w:spacing w:before="30" w:afterLines="30" w:after="72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Indirect </w:t>
            </w:r>
            <w:r w:rsidR="00BE17DF" w:rsidRPr="00F4567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Buyer</w:t>
            </w:r>
          </w:p>
        </w:tc>
      </w:tr>
      <w:tr w:rsidR="009F3689" w:rsidRPr="00F4567E" w14:paraId="2074AB57" w14:textId="77777777" w:rsidTr="004E52B0">
        <w:tc>
          <w:tcPr>
            <w:tcW w:w="2548" w:type="dxa"/>
          </w:tcPr>
          <w:p w14:paraId="3E4BBB57" w14:textId="77777777" w:rsidR="00E12102" w:rsidRPr="00F4567E" w:rsidRDefault="00E12102" w:rsidP="004E52B0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55B97D69" w:rsidR="00E12102" w:rsidRPr="00F4567E" w:rsidRDefault="00A41C67" w:rsidP="00780297">
            <w:pPr>
              <w:spacing w:before="30" w:afterLines="30" w:after="72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Raw </w:t>
            </w:r>
            <w:r w:rsidR="00974071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M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aterial Manager </w:t>
            </w:r>
          </w:p>
        </w:tc>
      </w:tr>
      <w:tr w:rsidR="009F3689" w:rsidRPr="00F4567E" w14:paraId="12659DC1" w14:textId="77777777" w:rsidTr="004E52B0">
        <w:tc>
          <w:tcPr>
            <w:tcW w:w="2548" w:type="dxa"/>
          </w:tcPr>
          <w:p w14:paraId="36DDFAA7" w14:textId="77777777" w:rsidR="00E12102" w:rsidRPr="00F4567E" w:rsidRDefault="00E12102" w:rsidP="004E52B0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20186C35" w:rsidR="00E12102" w:rsidRPr="00F4567E" w:rsidRDefault="00BE17DF" w:rsidP="00780297">
            <w:pPr>
              <w:spacing w:before="30" w:afterLines="30" w:after="72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Rugeley</w:t>
            </w:r>
            <w:r w:rsidR="00AB178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61C77" w:rsidRPr="00F4567E" w14:paraId="519475EB" w14:textId="77777777" w:rsidTr="004E52B0">
        <w:tc>
          <w:tcPr>
            <w:tcW w:w="2548" w:type="dxa"/>
          </w:tcPr>
          <w:p w14:paraId="09962585" w14:textId="382D8F37" w:rsidR="00161C77" w:rsidRPr="00F4567E" w:rsidRDefault="00161C77" w:rsidP="00161C77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Direct &amp; Indirect Reports:</w:t>
            </w:r>
          </w:p>
        </w:tc>
        <w:tc>
          <w:tcPr>
            <w:tcW w:w="7092" w:type="dxa"/>
          </w:tcPr>
          <w:p w14:paraId="1225DCCE" w14:textId="499534AB" w:rsidR="00161C77" w:rsidRPr="00F4567E" w:rsidRDefault="00161C77" w:rsidP="00BE17DF">
            <w:pPr>
              <w:widowControl w:val="0"/>
              <w:autoSpaceDE w:val="0"/>
              <w:autoSpaceDN w:val="0"/>
              <w:adjustRightInd w:val="0"/>
              <w:ind w:left="-709"/>
              <w:rPr>
                <w:rFonts w:ascii="Century Gothic" w:hAnsi="Century Gothic"/>
                <w:sz w:val="20"/>
                <w:szCs w:val="20"/>
              </w:rPr>
            </w:pPr>
            <w:r w:rsidRPr="00F4567E">
              <w:rPr>
                <w:rFonts w:ascii="Century Gothic" w:hAnsi="Century Gothic"/>
                <w:sz w:val="20"/>
                <w:szCs w:val="20"/>
              </w:rPr>
              <w:t xml:space="preserve">o be     </w:t>
            </w:r>
            <w:r w:rsidR="00A41C67">
              <w:rPr>
                <w:rFonts w:ascii="Century Gothic" w:hAnsi="Century Gothic"/>
                <w:sz w:val="20"/>
                <w:szCs w:val="20"/>
              </w:rPr>
              <w:t xml:space="preserve">None </w:t>
            </w:r>
          </w:p>
        </w:tc>
      </w:tr>
      <w:tr w:rsidR="00161C77" w:rsidRPr="00F4567E" w14:paraId="2CBCFB81" w14:textId="77777777" w:rsidTr="004E52B0">
        <w:tc>
          <w:tcPr>
            <w:tcW w:w="2548" w:type="dxa"/>
          </w:tcPr>
          <w:p w14:paraId="3C3315E7" w14:textId="7E9A9138" w:rsidR="00161C77" w:rsidRPr="00F4567E" w:rsidRDefault="00527904" w:rsidP="00161C77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Overall,</w:t>
            </w:r>
            <w:r w:rsidR="00161C77"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 Purpose:</w:t>
            </w:r>
          </w:p>
        </w:tc>
        <w:tc>
          <w:tcPr>
            <w:tcW w:w="7092" w:type="dxa"/>
            <w:vAlign w:val="bottom"/>
          </w:tcPr>
          <w:p w14:paraId="7DB55542" w14:textId="745CCC19" w:rsidR="00243117" w:rsidRPr="00F4567E" w:rsidRDefault="00243117" w:rsidP="00243117">
            <w:pPr>
              <w:pStyle w:val="paragraph"/>
              <w:textAlignment w:val="baseline"/>
              <w:rPr>
                <w:rStyle w:val="eop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P</w:t>
            </w:r>
            <w:proofErr w:type="spellStart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o</w:t>
            </w:r>
            <w:proofErr w:type="spellEnd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c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u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e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m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e</w:t>
            </w:r>
            <w:proofErr w:type="spellStart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n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t</w:t>
            </w:r>
            <w:proofErr w:type="spellEnd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 has a direct impact on the profitability of 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P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e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m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i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e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N</w:t>
            </w:r>
            <w:r w:rsidR="00E00722"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utrition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 through effective </w:t>
            </w:r>
            <w:r w:rsidR="00813291"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I</w:t>
            </w:r>
            <w:r w:rsidR="00813291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ndirect management</w:t>
            </w:r>
            <w:r w:rsid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 xml:space="preserve">, including </w:t>
            </w:r>
            <w:r w:rsidR="00813291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the contracting, purchasing and management of indirect procurement.</w:t>
            </w:r>
            <w:r w:rsidRPr="00F4567E">
              <w:rPr>
                <w:rStyle w:val="eop"/>
                <w:rFonts w:ascii="Century Gothic" w:hAnsi="Century Gothic" w:cs="Calibri"/>
                <w:sz w:val="20"/>
                <w:szCs w:val="20"/>
              </w:rPr>
              <w:t> </w:t>
            </w:r>
          </w:p>
          <w:p w14:paraId="759FBEDC" w14:textId="0C69F9EF" w:rsidR="00243117" w:rsidRPr="00F4567E" w:rsidRDefault="00243117" w:rsidP="00243117">
            <w:pPr>
              <w:pStyle w:val="paragraph"/>
              <w:textAlignment w:val="baseline"/>
              <w:rPr>
                <w:rStyle w:val="eop"/>
                <w:rFonts w:ascii="Century Gothic" w:hAnsi="Century Gothic" w:cs="Calibri"/>
                <w:sz w:val="20"/>
                <w:szCs w:val="20"/>
              </w:rPr>
            </w:pPr>
          </w:p>
          <w:p w14:paraId="7396026A" w14:textId="0850C659" w:rsidR="00243117" w:rsidRPr="00F4567E" w:rsidRDefault="00243117" w:rsidP="00243117">
            <w:pPr>
              <w:pStyle w:val="paragraph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To assist with the hands-on ownership of </w:t>
            </w:r>
            <w:proofErr w:type="spellStart"/>
            <w:r w:rsidR="00813291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Indirect</w:t>
            </w:r>
            <w:r w:rsidR="004D3719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s</w:t>
            </w:r>
            <w:proofErr w:type="spellEnd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a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t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 xml:space="preserve"> 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P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r</w:t>
            </w:r>
            <w:proofErr w:type="spellStart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e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m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i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e</w:t>
            </w:r>
            <w:proofErr w:type="spellEnd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 xml:space="preserve"> 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n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u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t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i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t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i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o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n. To actively contribute to the 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P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e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m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i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e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N</w:t>
            </w:r>
            <w:proofErr w:type="spellStart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u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t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r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i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t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i</w:t>
            </w:r>
            <w:proofErr w:type="spellEnd"/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o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n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 and AB Agri procurement communities, ensuring we leverage our combined scale within AB Agri </w:t>
            </w:r>
            <w:r w:rsidR="00F4567E">
              <w:rPr>
                <w:rStyle w:val="normaltextrun"/>
                <w:rFonts w:ascii="Century Gothic" w:hAnsi="Century Gothic" w:cs="Calibri"/>
                <w:sz w:val="20"/>
                <w:szCs w:val="20"/>
                <w:lang w:val="en-GB"/>
              </w:rPr>
              <w:t>and</w:t>
            </w: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 xml:space="preserve"> ABF.</w:t>
            </w:r>
            <w:r w:rsidRPr="00F4567E">
              <w:rPr>
                <w:rStyle w:val="eop"/>
                <w:rFonts w:ascii="Century Gothic" w:hAnsi="Century Gothic" w:cs="Calibri"/>
                <w:sz w:val="20"/>
                <w:szCs w:val="20"/>
              </w:rPr>
              <w:t> </w:t>
            </w:r>
          </w:p>
          <w:p w14:paraId="0EDC1923" w14:textId="110218D4" w:rsidR="00BE17DF" w:rsidRPr="00F4567E" w:rsidRDefault="00BE17DF" w:rsidP="00BE17DF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161C77" w:rsidRPr="00F4567E" w14:paraId="7F3D92A7" w14:textId="77777777" w:rsidTr="00B75163">
        <w:tc>
          <w:tcPr>
            <w:tcW w:w="2548" w:type="dxa"/>
          </w:tcPr>
          <w:p w14:paraId="477CA338" w14:textId="0C631BA4" w:rsidR="00161C77" w:rsidRPr="00F4567E" w:rsidRDefault="00161C77" w:rsidP="00161C77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Key Responsibilities: </w:t>
            </w:r>
          </w:p>
        </w:tc>
        <w:tc>
          <w:tcPr>
            <w:tcW w:w="7092" w:type="dxa"/>
          </w:tcPr>
          <w:p w14:paraId="74574C93" w14:textId="77777777" w:rsidR="00243117" w:rsidRPr="00F4567E" w:rsidRDefault="00243117" w:rsidP="00243117">
            <w:pPr>
              <w:pStyle w:val="paragraph"/>
              <w:textAlignment w:val="baseline"/>
              <w:rPr>
                <w:rStyle w:val="normaltextrun"/>
                <w:rFonts w:ascii="Century Gothic" w:hAnsi="Century Gothic" w:cs="Calibri"/>
                <w:b/>
                <w:bCs/>
              </w:rPr>
            </w:pPr>
            <w:r w:rsidRPr="00F4567E">
              <w:rPr>
                <w:rStyle w:val="normaltextrun"/>
                <w:rFonts w:ascii="Century Gothic" w:hAnsi="Century Gothic" w:cs="Calibri"/>
                <w:b/>
                <w:bCs/>
                <w:sz w:val="20"/>
                <w:szCs w:val="20"/>
              </w:rPr>
              <w:t>Purchasing:</w:t>
            </w:r>
            <w:r w:rsidRPr="00F4567E">
              <w:rPr>
                <w:rStyle w:val="normaltextrun"/>
                <w:rFonts w:ascii="Century Gothic" w:hAnsi="Century Gothic"/>
                <w:b/>
                <w:bCs/>
              </w:rPr>
              <w:t> </w:t>
            </w:r>
          </w:p>
          <w:p w14:paraId="3953CBA4" w14:textId="73E6B28D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 xml:space="preserve"> Lead and manage the end-to-end procurement process for all indirect categories, including identifying needs, tendering, negotiation, contracting, and supplier performance management.</w:t>
            </w:r>
            <w:r w:rsidR="004D3719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(P2P)</w:t>
            </w:r>
          </w:p>
          <w:p w14:paraId="5EB83495" w14:textId="2BAA92B1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Collaborate with stakeholders across operations, engineering, finance, and HSE to gather requirements and deliver procurement solutions that support business objectives.</w:t>
            </w:r>
          </w:p>
          <w:p w14:paraId="5BC62872" w14:textId="108CCAA8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Develop and implement category strategies for indirect spend areas, including CAPEX, MRO, packaging, transport,</w:t>
            </w:r>
            <w:r w:rsidR="004D3719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site services</w:t>
            </w:r>
            <w:r w:rsidR="004D3719">
              <w:rPr>
                <w:rFonts w:ascii="Century Gothic" w:hAnsi="Century Gothic"/>
                <w:sz w:val="20"/>
                <w:szCs w:val="20"/>
                <w:lang w:val="en-GB"/>
              </w:rPr>
              <w:t xml:space="preserve"> &amp; third-party storage.</w:t>
            </w:r>
          </w:p>
          <w:p w14:paraId="5C0A81F7" w14:textId="5ADAD6F8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Negotiate terms and contracts with suppliers to ensure best value, quality, and service levels.</w:t>
            </w:r>
          </w:p>
          <w:p w14:paraId="1A28D7CB" w14:textId="1CF3EE53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Identify opportunities for cost savings and process improvements across the indirect spend portfolio.</w:t>
            </w:r>
          </w:p>
          <w:p w14:paraId="2BEB5246" w14:textId="14B54F0C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Monitor supplier performance against agreed KPIs and SLAs, managing issues and risks proactively.</w:t>
            </w:r>
          </w:p>
          <w:p w14:paraId="7DC024DD" w14:textId="0D4B249B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Ensure procurement activities align with company policies, quality standards, and regulatory requirements specific to the animal feed industry (e.g. feed safety and compliance).</w:t>
            </w:r>
          </w:p>
          <w:p w14:paraId="4F531F88" w14:textId="1A65AA29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Work closely with finance and other departments to support budgeting, forecasting, and cost reporting.</w:t>
            </w:r>
          </w:p>
          <w:p w14:paraId="42ED77F4" w14:textId="717A26C3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Contribute to sustainability and ESG initiatives through responsible sourcing and waste reduction strategies.</w:t>
            </w:r>
          </w:p>
          <w:p w14:paraId="2B1F936C" w14:textId="411F0FAB" w:rsidR="00813291" w:rsidRPr="00813291" w:rsidRDefault="00813291" w:rsidP="00813291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13291">
              <w:rPr>
                <w:rFonts w:ascii="Century Gothic" w:hAnsi="Century Gothic"/>
                <w:sz w:val="20"/>
                <w:szCs w:val="20"/>
                <w:lang w:val="en-GB"/>
              </w:rPr>
              <w:t>Support digitalisation and continuous improvement of procurement processes and systems.</w:t>
            </w:r>
            <w:r w:rsidR="004D3719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  <w:p w14:paraId="50704CC2" w14:textId="53B7480C" w:rsidR="00760053" w:rsidRPr="00D03862" w:rsidRDefault="00760053" w:rsidP="00813291">
            <w:pPr>
              <w:pStyle w:val="paragraph"/>
              <w:textAlignment w:val="baseline"/>
              <w:rPr>
                <w:rFonts w:ascii="Century Gothic" w:hAnsi="Century Gothic" w:cs="Calibri"/>
              </w:rPr>
            </w:pPr>
          </w:p>
        </w:tc>
      </w:tr>
      <w:tr w:rsidR="00161C77" w:rsidRPr="00F4567E" w14:paraId="4F624AE0" w14:textId="77777777" w:rsidTr="004E52B0">
        <w:tc>
          <w:tcPr>
            <w:tcW w:w="2548" w:type="dxa"/>
          </w:tcPr>
          <w:p w14:paraId="5F5F8A04" w14:textId="69B887C3" w:rsidR="00161C77" w:rsidRPr="00F4567E" w:rsidRDefault="00161C77" w:rsidP="00161C77">
            <w:pPr>
              <w:spacing w:after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F4567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3FA3B655" w:rsidR="00161C77" w:rsidRPr="00F4567E" w:rsidRDefault="00161C77" w:rsidP="00161C77">
            <w:pPr>
              <w:spacing w:before="30" w:afterLines="30" w:after="72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4567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6C8E07C5" w14:textId="77777777" w:rsidR="004E52B0" w:rsidRPr="00F4567E" w:rsidRDefault="004E52B0" w:rsidP="00272C79">
      <w:pPr>
        <w:tabs>
          <w:tab w:val="left" w:pos="1655"/>
        </w:tabs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F4567E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77777777" w:rsidR="00A12E4B" w:rsidRPr="00F4567E" w:rsidRDefault="00A12E4B" w:rsidP="00A12E4B">
            <w:pPr>
              <w:rPr>
                <w:rFonts w:ascii="Century Gothic" w:hAnsi="Century Gothic"/>
                <w:b/>
                <w:bCs/>
              </w:rPr>
            </w:pPr>
            <w:r w:rsidRPr="00F4567E">
              <w:rPr>
                <w:rFonts w:ascii="Century Gothic" w:hAnsi="Century Gothic"/>
                <w:b/>
                <w:bCs/>
              </w:rPr>
              <w:t xml:space="preserve">Person Profile/Knowledge </w:t>
            </w:r>
          </w:p>
          <w:p w14:paraId="70764BCB" w14:textId="77777777" w:rsidR="00A12E4B" w:rsidRPr="00F4567E" w:rsidRDefault="00A12E4B" w:rsidP="00A12E4B">
            <w:pPr>
              <w:rPr>
                <w:rFonts w:ascii="Century Gothic" w:hAnsi="Century Gothic"/>
                <w:b/>
                <w:bCs/>
              </w:rPr>
            </w:pPr>
            <w:r w:rsidRPr="00F4567E">
              <w:rPr>
                <w:rFonts w:ascii="Century Gothic" w:hAnsi="Century Gothic"/>
                <w:bCs/>
              </w:rPr>
              <w:t>Experience, any formal qualifications and necessary keys areas of knowledge or experience.</w:t>
            </w:r>
          </w:p>
        </w:tc>
      </w:tr>
      <w:tr w:rsidR="00A12E4B" w:rsidRPr="00F4567E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F4567E" w:rsidRDefault="00A12E4B" w:rsidP="00A12E4B">
            <w:pPr>
              <w:spacing w:before="40" w:after="40"/>
              <w:jc w:val="center"/>
              <w:rPr>
                <w:rFonts w:ascii="Century Gothic" w:hAnsi="Century Gothic"/>
                <w:b/>
                <w:bCs/>
              </w:rPr>
            </w:pPr>
            <w:r w:rsidRPr="00F4567E">
              <w:rPr>
                <w:rFonts w:ascii="Century Gothic" w:hAnsi="Century Gothic"/>
                <w:b/>
                <w:bCs/>
              </w:rPr>
              <w:lastRenderedPageBreak/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F4567E" w:rsidRDefault="00A12E4B" w:rsidP="00A12E4B">
            <w:pPr>
              <w:spacing w:before="40" w:after="40"/>
              <w:jc w:val="center"/>
              <w:rPr>
                <w:rFonts w:ascii="Century Gothic" w:hAnsi="Century Gothic"/>
                <w:b/>
                <w:bCs/>
              </w:rPr>
            </w:pPr>
            <w:r w:rsidRPr="00F4567E">
              <w:rPr>
                <w:rFonts w:ascii="Century Gothic" w:hAnsi="Century Gothic"/>
                <w:b/>
                <w:bCs/>
              </w:rPr>
              <w:t>Desirable</w:t>
            </w:r>
          </w:p>
        </w:tc>
      </w:tr>
      <w:tr w:rsidR="00F4567E" w:rsidRPr="00F4567E" w14:paraId="3FE010CE" w14:textId="77777777" w:rsidTr="00F87D82">
        <w:tc>
          <w:tcPr>
            <w:tcW w:w="4820" w:type="dxa"/>
            <w:gridSpan w:val="2"/>
            <w:shd w:val="clear" w:color="auto" w:fill="auto"/>
          </w:tcPr>
          <w:p w14:paraId="5FC35028" w14:textId="48A61272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Proven experience in a procurement or buying role, preferably focused on indirect categories.</w:t>
            </w:r>
          </w:p>
          <w:p w14:paraId="62E70AD6" w14:textId="0D33F1C9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Strong negotiation and contract management skills.</w:t>
            </w:r>
          </w:p>
          <w:p w14:paraId="54979AB1" w14:textId="511F6C61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Knowledge of procurement best practices and tools (e.g. RFQ, e-sourcing, SRM).</w:t>
            </w:r>
          </w:p>
          <w:p w14:paraId="5716682B" w14:textId="4A7D5383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Understanding of procurement compliance and risk management.</w:t>
            </w:r>
          </w:p>
          <w:p w14:paraId="11A71ABB" w14:textId="4DC7EBC7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Excellent stakeholder management and interpersonal skills.</w:t>
            </w:r>
          </w:p>
          <w:p w14:paraId="52B93AFE" w14:textId="379EA230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Strong analytical and problem-solving ability.</w:t>
            </w:r>
          </w:p>
          <w:p w14:paraId="271911EB" w14:textId="3BF7284E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 xml:space="preserve">Proficient in MS Office and procurement systems (e.g. ERP systems like </w:t>
            </w:r>
            <w:proofErr w:type="gramStart"/>
            <w:r>
              <w:rPr>
                <w:rFonts w:ascii="Century Gothic" w:hAnsi="Century Gothic" w:cs="Calibri"/>
                <w:sz w:val="20"/>
                <w:szCs w:val="20"/>
                <w:lang w:val="en-GB"/>
              </w:rPr>
              <w:t>AX ,</w:t>
            </w: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SAP</w:t>
            </w:r>
            <w:proofErr w:type="gramEnd"/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, Oracle, or similar).</w:t>
            </w:r>
          </w:p>
          <w:p w14:paraId="07D13094" w14:textId="3B01A1B9" w:rsidR="004D3719" w:rsidRPr="004D3719" w:rsidRDefault="004D3719" w:rsidP="004D3719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 w:rsidRPr="004D3719">
              <w:rPr>
                <w:rFonts w:ascii="Century Gothic" w:hAnsi="Century Gothic" w:cs="Calibri"/>
                <w:sz w:val="20"/>
                <w:szCs w:val="20"/>
                <w:lang w:val="en-GB"/>
              </w:rPr>
              <w:t>Ability to manage multiple projects and priorities in a fast-paced environment.</w:t>
            </w:r>
          </w:p>
          <w:p w14:paraId="2B663C62" w14:textId="77777777" w:rsidR="00F4567E" w:rsidRPr="00F4567E" w:rsidRDefault="00F4567E" w:rsidP="00D03862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Strong organisation skills, comfortable with managing multiple priorities and projects simultaneously.</w:t>
            </w:r>
            <w:r w:rsidRPr="00F4567E">
              <w:rPr>
                <w:rStyle w:val="normaltextrun"/>
                <w:rFonts w:ascii="Century Gothic" w:hAnsi="Century Gothic"/>
                <w:sz w:val="20"/>
                <w:szCs w:val="20"/>
              </w:rPr>
              <w:t> </w:t>
            </w:r>
          </w:p>
          <w:p w14:paraId="5811CF3F" w14:textId="77777777" w:rsidR="00F4567E" w:rsidRPr="00F4567E" w:rsidRDefault="00F4567E" w:rsidP="00D03862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Experienced in the successful use of e-purchasing tools.</w:t>
            </w:r>
            <w:r w:rsidRPr="00F4567E">
              <w:rPr>
                <w:rStyle w:val="normaltextrun"/>
                <w:rFonts w:ascii="Century Gothic" w:hAnsi="Century Gothic"/>
                <w:sz w:val="20"/>
                <w:szCs w:val="20"/>
              </w:rPr>
              <w:t> </w:t>
            </w:r>
          </w:p>
          <w:p w14:paraId="3E487615" w14:textId="77777777" w:rsidR="00F4567E" w:rsidRPr="00F4567E" w:rsidRDefault="00F4567E" w:rsidP="00D03862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Ability to focus on delivering tangible, measurable results to tight timescales.</w:t>
            </w:r>
            <w:r w:rsidRPr="00F4567E">
              <w:rPr>
                <w:rStyle w:val="normaltextrun"/>
                <w:rFonts w:ascii="Century Gothic" w:hAnsi="Century Gothic"/>
                <w:sz w:val="20"/>
                <w:szCs w:val="20"/>
              </w:rPr>
              <w:t> </w:t>
            </w:r>
          </w:p>
          <w:p w14:paraId="37921443" w14:textId="65435151" w:rsidR="00F4567E" w:rsidRPr="00F4567E" w:rsidRDefault="00F4567E" w:rsidP="004D3719">
            <w:pPr>
              <w:pStyle w:val="paragraph"/>
              <w:ind w:left="360"/>
              <w:textAlignment w:val="baseline"/>
              <w:rPr>
                <w:rFonts w:ascii="Century Gothic" w:hAnsi="Century Gothic"/>
              </w:rPr>
            </w:pPr>
          </w:p>
        </w:tc>
        <w:tc>
          <w:tcPr>
            <w:tcW w:w="4820" w:type="dxa"/>
            <w:shd w:val="clear" w:color="auto" w:fill="auto"/>
          </w:tcPr>
          <w:p w14:paraId="565708F3" w14:textId="38AA3E47" w:rsidR="004D3719" w:rsidRPr="004D3719" w:rsidRDefault="004D3719" w:rsidP="004D37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entury Gothic" w:hAnsi="Century Gothic" w:cs="Helvetica"/>
              </w:rPr>
            </w:pPr>
            <w:r w:rsidRPr="004D3719">
              <w:rPr>
                <w:rFonts w:ascii="Century Gothic" w:hAnsi="Century Gothic" w:cs="Helvetica"/>
              </w:rPr>
              <w:t>Experience in the animal feed, agriculture, or food production industries.</w:t>
            </w:r>
          </w:p>
          <w:p w14:paraId="63FF34BB" w14:textId="2EB1850C" w:rsidR="004D3719" w:rsidRPr="004D3719" w:rsidRDefault="004D3719" w:rsidP="004D37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entury Gothic" w:hAnsi="Century Gothic" w:cs="Helvetica"/>
              </w:rPr>
            </w:pPr>
            <w:r w:rsidRPr="004D3719">
              <w:rPr>
                <w:rFonts w:ascii="Century Gothic" w:hAnsi="Century Gothic" w:cs="Helvetica"/>
              </w:rPr>
              <w:t>CIPS qualification or working towards.</w:t>
            </w:r>
          </w:p>
          <w:p w14:paraId="5096DDB2" w14:textId="04CA70FC" w:rsidR="004D3719" w:rsidRPr="004D3719" w:rsidRDefault="004D3719" w:rsidP="004D37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entury Gothic" w:hAnsi="Century Gothic" w:cs="Helvetica"/>
              </w:rPr>
            </w:pPr>
            <w:r w:rsidRPr="004D3719">
              <w:rPr>
                <w:rFonts w:ascii="Century Gothic" w:hAnsi="Century Gothic" w:cs="Helvetica"/>
              </w:rPr>
              <w:t xml:space="preserve"> Knowledge of sustainability practices in procurement.</w:t>
            </w:r>
          </w:p>
          <w:p w14:paraId="46C3E7DB" w14:textId="3E6AA194" w:rsidR="004D3719" w:rsidRPr="004D3719" w:rsidRDefault="004D3719" w:rsidP="004D37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entury Gothic" w:hAnsi="Century Gothic" w:cs="Helvetica"/>
              </w:rPr>
            </w:pPr>
            <w:r w:rsidRPr="004D3719">
              <w:rPr>
                <w:rFonts w:ascii="Century Gothic" w:hAnsi="Century Gothic" w:cs="Helvetica"/>
              </w:rPr>
              <w:t>Familiarity with technical and engineering-related indirect categories (e.g. CAPEX, MRO).</w:t>
            </w:r>
          </w:p>
          <w:p w14:paraId="64A28F81" w14:textId="427F1E0C" w:rsidR="004D3719" w:rsidRPr="004D3719" w:rsidRDefault="004D3719" w:rsidP="004D37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entury Gothic" w:hAnsi="Century Gothic" w:cs="Helvetica"/>
              </w:rPr>
            </w:pPr>
            <w:r w:rsidRPr="004D3719">
              <w:rPr>
                <w:rFonts w:ascii="Century Gothic" w:hAnsi="Century Gothic" w:cs="Helvetica"/>
              </w:rPr>
              <w:t>Awareness of relevant regulations (e.g. feed safety standards, environmental requirements).</w:t>
            </w:r>
          </w:p>
          <w:p w14:paraId="4B62CAC4" w14:textId="77777777" w:rsidR="00F4567E" w:rsidRPr="00F4567E" w:rsidRDefault="00F4567E" w:rsidP="00F4567E">
            <w:pPr>
              <w:pStyle w:val="ListParagraph"/>
              <w:rPr>
                <w:rFonts w:ascii="Century Gothic" w:hAnsi="Century Gothic"/>
              </w:rPr>
            </w:pPr>
          </w:p>
          <w:p w14:paraId="7A20300B" w14:textId="66D152B6" w:rsidR="00F4567E" w:rsidRPr="00F4567E" w:rsidRDefault="00F4567E" w:rsidP="00F4567E">
            <w:pPr>
              <w:pStyle w:val="ListParagraph"/>
              <w:jc w:val="both"/>
              <w:rPr>
                <w:rFonts w:ascii="Century Gothic" w:eastAsia="Times New Roman" w:hAnsi="Century Gothic"/>
              </w:rPr>
            </w:pPr>
          </w:p>
        </w:tc>
      </w:tr>
      <w:tr w:rsidR="00F4567E" w:rsidRPr="00F4567E" w14:paraId="19EE2AF4" w14:textId="77777777" w:rsidTr="00F87D82">
        <w:tc>
          <w:tcPr>
            <w:tcW w:w="2320" w:type="dxa"/>
          </w:tcPr>
          <w:p w14:paraId="3E08EDAB" w14:textId="13B7018D" w:rsidR="00F4567E" w:rsidRPr="00F4567E" w:rsidRDefault="00F4567E" w:rsidP="00F4567E">
            <w:pPr>
              <w:rPr>
                <w:rFonts w:ascii="Century Gothic" w:hAnsi="Century Gothic"/>
                <w:b/>
                <w:bCs/>
              </w:rPr>
            </w:pPr>
            <w:r w:rsidRPr="00F4567E">
              <w:rPr>
                <w:rFonts w:ascii="Century Gothic" w:hAnsi="Century Gothic"/>
                <w:b/>
                <w:bCs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26DD5403" w14:textId="43FC04CD" w:rsidR="00F4567E" w:rsidRPr="00F4567E" w:rsidRDefault="00F4567E" w:rsidP="00D03862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rFonts w:ascii="Century Gothic" w:eastAsia="Times New Roman" w:hAnsi="Century Gothic"/>
              </w:rPr>
            </w:pPr>
            <w:r w:rsidRPr="00F4567E">
              <w:rPr>
                <w:rFonts w:ascii="Century Gothic" w:eastAsia="Times New Roman" w:hAnsi="Century Gothic"/>
              </w:rPr>
              <w:t xml:space="preserve">An advocate and leading example for our Premier Nutrition </w:t>
            </w:r>
            <w:proofErr w:type="gramStart"/>
            <w:r w:rsidRPr="00F4567E">
              <w:rPr>
                <w:rFonts w:ascii="Century Gothic" w:eastAsia="Times New Roman" w:hAnsi="Century Gothic"/>
              </w:rPr>
              <w:t>behaviours;</w:t>
            </w:r>
            <w:proofErr w:type="gramEnd"/>
            <w:r w:rsidRPr="00F4567E">
              <w:rPr>
                <w:rFonts w:ascii="Century Gothic" w:eastAsia="Times New Roman" w:hAnsi="Century Gothic"/>
              </w:rPr>
              <w:t xml:space="preserve"> </w:t>
            </w:r>
          </w:p>
          <w:p w14:paraId="2A6D59F7" w14:textId="433F6344" w:rsidR="00F4567E" w:rsidRPr="00F4567E" w:rsidRDefault="00F4567E" w:rsidP="00D03862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rFonts w:ascii="Century Gothic" w:eastAsia="Times New Roman" w:hAnsi="Century Gothic"/>
              </w:rPr>
            </w:pPr>
            <w:r w:rsidRPr="00F4567E">
              <w:rPr>
                <w:rFonts w:ascii="Century Gothic" w:eastAsia="Times New Roman" w:hAnsi="Century Gothic"/>
              </w:rPr>
              <w:t>We continuously improve – what we do and how we operate</w:t>
            </w:r>
          </w:p>
          <w:p w14:paraId="40212934" w14:textId="71CFFB8C" w:rsidR="00F4567E" w:rsidRPr="00F4567E" w:rsidRDefault="00F4567E" w:rsidP="00D03862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rFonts w:ascii="Century Gothic" w:eastAsia="Times New Roman" w:hAnsi="Century Gothic"/>
              </w:rPr>
            </w:pPr>
            <w:r w:rsidRPr="00F4567E">
              <w:rPr>
                <w:rFonts w:ascii="Century Gothic" w:eastAsia="Times New Roman" w:hAnsi="Century Gothic"/>
              </w:rPr>
              <w:t>We pull together – communicate openly, question respectfully and commit fully</w:t>
            </w:r>
          </w:p>
          <w:p w14:paraId="36510B1C" w14:textId="5B77C377" w:rsidR="00F4567E" w:rsidRPr="00F4567E" w:rsidRDefault="00F4567E" w:rsidP="00D03862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rFonts w:ascii="Century Gothic" w:eastAsia="Times New Roman" w:hAnsi="Century Gothic"/>
              </w:rPr>
            </w:pPr>
            <w:r w:rsidRPr="00F4567E">
              <w:rPr>
                <w:rFonts w:ascii="Century Gothic" w:eastAsia="Times New Roman" w:hAnsi="Century Gothic"/>
              </w:rPr>
              <w:t>We stand out – be brave and bold with new ideas that grow both yourself and our customers</w:t>
            </w:r>
          </w:p>
          <w:p w14:paraId="707600DF" w14:textId="77777777" w:rsidR="00F4567E" w:rsidRPr="00F4567E" w:rsidRDefault="00F4567E" w:rsidP="00D03862">
            <w:pPr>
              <w:pStyle w:val="paragraph"/>
              <w:numPr>
                <w:ilvl w:val="0"/>
                <w:numId w:val="7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Champions change and ability to influence others</w:t>
            </w:r>
          </w:p>
          <w:p w14:paraId="49FB48D5" w14:textId="77777777" w:rsidR="00F4567E" w:rsidRPr="00F4567E" w:rsidRDefault="00F4567E" w:rsidP="00D03862">
            <w:pPr>
              <w:pStyle w:val="paragraph"/>
              <w:numPr>
                <w:ilvl w:val="0"/>
                <w:numId w:val="7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Capable of identifying ineffective processes and take action to change and embed new ways of working at pace</w:t>
            </w:r>
          </w:p>
          <w:p w14:paraId="4825F336" w14:textId="77777777" w:rsidR="00F4567E" w:rsidRPr="00F4567E" w:rsidRDefault="00F4567E" w:rsidP="00D03862">
            <w:pPr>
              <w:pStyle w:val="paragraph"/>
              <w:numPr>
                <w:ilvl w:val="0"/>
                <w:numId w:val="7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High level of accuracy and attention to detail</w:t>
            </w:r>
          </w:p>
          <w:p w14:paraId="5F02AECE" w14:textId="77777777" w:rsidR="00F4567E" w:rsidRPr="00F4567E" w:rsidRDefault="00F4567E" w:rsidP="00D03862">
            <w:pPr>
              <w:pStyle w:val="paragraph"/>
              <w:numPr>
                <w:ilvl w:val="0"/>
                <w:numId w:val="7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Able to build relationships with suppliers &amp; stakeholders </w:t>
            </w:r>
          </w:p>
          <w:p w14:paraId="04F90442" w14:textId="77777777" w:rsidR="00F4567E" w:rsidRPr="00F4567E" w:rsidRDefault="00F4567E" w:rsidP="00D03862">
            <w:pPr>
              <w:pStyle w:val="paragraph"/>
              <w:numPr>
                <w:ilvl w:val="0"/>
                <w:numId w:val="7"/>
              </w:numPr>
              <w:textAlignment w:val="baseline"/>
              <w:rPr>
                <w:rStyle w:val="normaltextrun"/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Strong commercial and financial acumen combined with sound understanding of business drivers. </w:t>
            </w:r>
          </w:p>
          <w:p w14:paraId="01E06E25" w14:textId="47F75D40" w:rsidR="00F4567E" w:rsidRPr="00F4567E" w:rsidRDefault="00F4567E" w:rsidP="00D03862">
            <w:pPr>
              <w:pStyle w:val="paragraph"/>
              <w:numPr>
                <w:ilvl w:val="0"/>
                <w:numId w:val="7"/>
              </w:numPr>
              <w:textAlignment w:val="baseline"/>
              <w:rPr>
                <w:rFonts w:ascii="Century Gothic" w:hAnsi="Century Gothic" w:cs="Calibri"/>
                <w:sz w:val="20"/>
                <w:szCs w:val="20"/>
              </w:rPr>
            </w:pPr>
            <w:r w:rsidRPr="00F4567E">
              <w:rPr>
                <w:rStyle w:val="normaltextrun"/>
                <w:rFonts w:ascii="Century Gothic" w:hAnsi="Century Gothic" w:cs="Calibri"/>
                <w:sz w:val="20"/>
                <w:szCs w:val="20"/>
              </w:rPr>
              <w:t>Ability to be pragmatic, resilient, and innovative in problem solving and issue resolution. </w:t>
            </w:r>
          </w:p>
        </w:tc>
      </w:tr>
      <w:tr w:rsidR="00F4567E" w:rsidRPr="00F4567E" w14:paraId="0AD927EA" w14:textId="77777777" w:rsidTr="00663E34">
        <w:trPr>
          <w:trHeight w:val="1010"/>
        </w:trPr>
        <w:tc>
          <w:tcPr>
            <w:tcW w:w="2320" w:type="dxa"/>
          </w:tcPr>
          <w:p w14:paraId="60F29E3E" w14:textId="77777777" w:rsidR="00F4567E" w:rsidRPr="00F4567E" w:rsidRDefault="00F4567E" w:rsidP="00F4567E">
            <w:pPr>
              <w:rPr>
                <w:rFonts w:ascii="Century Gothic" w:hAnsi="Century Gothic"/>
                <w:b/>
                <w:bCs/>
              </w:rPr>
            </w:pPr>
            <w:r w:rsidRPr="00F4567E">
              <w:rPr>
                <w:rFonts w:ascii="Century Gothic" w:hAnsi="Century Gothic"/>
                <w:b/>
                <w:bCs/>
              </w:rPr>
              <w:t>Other Factors</w:t>
            </w:r>
          </w:p>
          <w:p w14:paraId="56ADABEE" w14:textId="77777777" w:rsidR="00F4567E" w:rsidRPr="00F4567E" w:rsidRDefault="00F4567E" w:rsidP="00F4567E">
            <w:pPr>
              <w:rPr>
                <w:rFonts w:ascii="Century Gothic" w:hAnsi="Century Gothic"/>
                <w:b/>
                <w:bCs/>
              </w:rPr>
            </w:pPr>
            <w:r w:rsidRPr="00F4567E">
              <w:rPr>
                <w:rFonts w:ascii="Century Gothic" w:hAnsi="Century Gothic"/>
                <w:bCs/>
              </w:rPr>
              <w:t>Trave, shift pattern, working hours, Licence type etc.</w:t>
            </w:r>
          </w:p>
        </w:tc>
        <w:tc>
          <w:tcPr>
            <w:tcW w:w="7320" w:type="dxa"/>
            <w:gridSpan w:val="2"/>
          </w:tcPr>
          <w:p w14:paraId="32FA323E" w14:textId="77777777" w:rsidR="00F4567E" w:rsidRPr="00F4567E" w:rsidRDefault="00F4567E" w:rsidP="00F4567E">
            <w:pPr>
              <w:autoSpaceDE w:val="0"/>
              <w:autoSpaceDN w:val="0"/>
              <w:adjustRightInd w:val="0"/>
              <w:rPr>
                <w:rFonts w:ascii="Century Gothic" w:hAnsi="Century Gothic" w:cs="Helvetica"/>
              </w:rPr>
            </w:pPr>
            <w:r w:rsidRPr="00F4567E">
              <w:rPr>
                <w:rFonts w:ascii="Century Gothic" w:hAnsi="Century Gothic"/>
              </w:rPr>
              <w:t>Be prepared to travel to customers/suppliers occasionally</w:t>
            </w:r>
          </w:p>
          <w:p w14:paraId="5FA9A984" w14:textId="24BB7C01" w:rsidR="00F4567E" w:rsidRPr="00F4567E" w:rsidRDefault="00F4567E" w:rsidP="00F4567E">
            <w:pPr>
              <w:spacing w:before="30" w:after="30"/>
              <w:rPr>
                <w:rFonts w:ascii="Century Gothic" w:hAnsi="Century Gothic"/>
              </w:rPr>
            </w:pPr>
          </w:p>
        </w:tc>
      </w:tr>
    </w:tbl>
    <w:p w14:paraId="67EA9A6C" w14:textId="6B1DDA18" w:rsidR="00A12E4B" w:rsidRPr="00F4567E" w:rsidRDefault="00A12E4B" w:rsidP="00272C79">
      <w:pPr>
        <w:tabs>
          <w:tab w:val="left" w:pos="1655"/>
        </w:tabs>
        <w:spacing w:after="0"/>
        <w:rPr>
          <w:rFonts w:ascii="Century Gothic" w:hAnsi="Century Gothic"/>
          <w:sz w:val="20"/>
          <w:szCs w:val="20"/>
        </w:rPr>
      </w:pPr>
    </w:p>
    <w:p w14:paraId="7344CC31" w14:textId="315A6F35" w:rsidR="00B91F16" w:rsidRPr="00F4567E" w:rsidRDefault="00B91F16" w:rsidP="00272C79">
      <w:pPr>
        <w:tabs>
          <w:tab w:val="left" w:pos="1655"/>
        </w:tabs>
        <w:spacing w:after="0"/>
        <w:rPr>
          <w:rFonts w:ascii="Century Gothic" w:hAnsi="Century Gothic"/>
          <w:sz w:val="20"/>
          <w:szCs w:val="20"/>
        </w:rPr>
      </w:pPr>
    </w:p>
    <w:p w14:paraId="1DE448F3" w14:textId="59CF4FB8" w:rsidR="00B91F16" w:rsidRPr="00F4567E" w:rsidRDefault="00B91F16" w:rsidP="00272C79">
      <w:pPr>
        <w:tabs>
          <w:tab w:val="left" w:pos="1655"/>
        </w:tabs>
        <w:spacing w:after="0"/>
        <w:rPr>
          <w:rFonts w:ascii="Century Gothic" w:hAnsi="Century Gothic"/>
          <w:sz w:val="20"/>
          <w:szCs w:val="20"/>
        </w:rPr>
      </w:pPr>
    </w:p>
    <w:p w14:paraId="01321D97" w14:textId="7AA5D1DD" w:rsidR="00B91F16" w:rsidRPr="00F4567E" w:rsidRDefault="00B91F16" w:rsidP="00272C79">
      <w:pPr>
        <w:tabs>
          <w:tab w:val="left" w:pos="1655"/>
        </w:tabs>
        <w:spacing w:after="0"/>
        <w:rPr>
          <w:rFonts w:ascii="Century Gothic" w:hAnsi="Century Gothic"/>
          <w:sz w:val="20"/>
          <w:szCs w:val="20"/>
        </w:rPr>
      </w:pPr>
    </w:p>
    <w:p w14:paraId="7F232D18" w14:textId="77777777" w:rsidR="00B91F16" w:rsidRPr="00F4567E" w:rsidRDefault="00B91F16" w:rsidP="00272C79">
      <w:pPr>
        <w:tabs>
          <w:tab w:val="left" w:pos="1655"/>
        </w:tabs>
        <w:spacing w:after="0"/>
        <w:rPr>
          <w:rFonts w:ascii="Century Gothic" w:hAnsi="Century Gothic"/>
          <w:sz w:val="20"/>
          <w:szCs w:val="20"/>
        </w:rPr>
      </w:pPr>
    </w:p>
    <w:sectPr w:rsidR="00B91F16" w:rsidRPr="00F4567E" w:rsidSect="00BD4453">
      <w:headerReference w:type="default" r:id="rId10"/>
      <w:footerReference w:type="even" r:id="rId11"/>
      <w:footerReference w:type="default" r:id="rId12"/>
      <w:pgSz w:w="11906" w:h="16838"/>
      <w:pgMar w:top="1843" w:right="1440" w:bottom="1440" w:left="1440" w:header="568" w:footer="6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ACE7" w14:textId="77777777" w:rsidR="00595006" w:rsidRDefault="00595006" w:rsidP="0020039E">
      <w:pPr>
        <w:spacing w:after="0" w:line="240" w:lineRule="auto"/>
      </w:pPr>
      <w:r>
        <w:separator/>
      </w:r>
    </w:p>
  </w:endnote>
  <w:endnote w:type="continuationSeparator" w:id="0">
    <w:p w14:paraId="7FFD3298" w14:textId="77777777" w:rsidR="00595006" w:rsidRDefault="00595006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82AD" w14:textId="7D74F3DD" w:rsidR="00B553D6" w:rsidRPr="00D451E0" w:rsidRDefault="00B553D6" w:rsidP="004E52B0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4B8D"/>
        <w:sz w:val="14"/>
        <w:szCs w:val="14"/>
        <w:lang w:val="de-DE"/>
      </w:rPr>
    </w:pPr>
    <w:r>
      <w:rPr>
        <w:rFonts w:ascii="Tahoma" w:hAnsi="Tahoma" w:cs="Tahoma"/>
        <w:noProof/>
        <w:color w:val="004B8D"/>
        <w:sz w:val="18"/>
        <w:szCs w:val="18"/>
        <w:lang w:val="de-DE"/>
      </w:rPr>
      <w:drawing>
        <wp:anchor distT="0" distB="0" distL="114300" distR="114300" simplePos="0" relativeHeight="251666432" behindDoc="0" locked="0" layoutInCell="1" allowOverlap="1" wp14:anchorId="5C9CE4F7" wp14:editId="0A08B877">
          <wp:simplePos x="0" y="0"/>
          <wp:positionH relativeFrom="column">
            <wp:posOffset>5181600</wp:posOffset>
          </wp:positionH>
          <wp:positionV relativeFrom="paragraph">
            <wp:posOffset>-502920</wp:posOffset>
          </wp:positionV>
          <wp:extent cx="1249680" cy="749935"/>
          <wp:effectExtent l="0" t="0" r="7620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2B0">
      <w:rPr>
        <w:rFonts w:ascii="Tahoma" w:hAnsi="Tahoma" w:cs="Tahoma"/>
        <w:sz w:val="14"/>
        <w:szCs w:val="14"/>
        <w:lang w:val="de-DE"/>
      </w:rPr>
      <w:t xml:space="preserve">Page </w:t>
    </w:r>
    <w:r w:rsidRPr="004E52B0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Pr="004E52B0">
      <w:rPr>
        <w:rFonts w:ascii="Tahoma" w:hAnsi="Tahoma" w:cs="Tahoma"/>
        <w:b/>
        <w:bCs/>
        <w:sz w:val="14"/>
        <w:szCs w:val="14"/>
        <w:lang w:val="de-DE"/>
      </w:rPr>
      <w:instrText xml:space="preserve"> PAGE  \* Arabic  \* MERGEFORMAT </w:instrText>
    </w:r>
    <w:r w:rsidRPr="004E52B0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Pr="004E52B0">
      <w:rPr>
        <w:rFonts w:ascii="Tahoma" w:hAnsi="Tahoma" w:cs="Tahoma"/>
        <w:b/>
        <w:bCs/>
        <w:sz w:val="14"/>
        <w:szCs w:val="14"/>
        <w:lang w:val="de-DE"/>
      </w:rPr>
      <w:t>1</w:t>
    </w:r>
    <w:r w:rsidRPr="004E52B0">
      <w:rPr>
        <w:rFonts w:ascii="Tahoma" w:hAnsi="Tahoma" w:cs="Tahoma"/>
        <w:b/>
        <w:bCs/>
        <w:sz w:val="14"/>
        <w:szCs w:val="14"/>
        <w:lang w:val="de-DE"/>
      </w:rPr>
      <w:fldChar w:fldCharType="end"/>
    </w:r>
    <w:r w:rsidRPr="004E52B0">
      <w:rPr>
        <w:rFonts w:ascii="Tahoma" w:hAnsi="Tahoma" w:cs="Tahoma"/>
        <w:sz w:val="14"/>
        <w:szCs w:val="14"/>
        <w:lang w:val="de-DE"/>
      </w:rPr>
      <w:t xml:space="preserve"> of </w:t>
    </w:r>
    <w:r w:rsidRPr="004E52B0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Pr="004E52B0">
      <w:rPr>
        <w:rFonts w:ascii="Tahoma" w:hAnsi="Tahoma" w:cs="Tahoma"/>
        <w:b/>
        <w:bCs/>
        <w:sz w:val="14"/>
        <w:szCs w:val="14"/>
        <w:lang w:val="de-DE"/>
      </w:rPr>
      <w:instrText xml:space="preserve"> NUMPAGES  \* Arabic  \* MERGEFORMAT </w:instrText>
    </w:r>
    <w:r w:rsidRPr="004E52B0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Pr="004E52B0">
      <w:rPr>
        <w:rFonts w:ascii="Tahoma" w:hAnsi="Tahoma" w:cs="Tahoma"/>
        <w:b/>
        <w:bCs/>
        <w:sz w:val="14"/>
        <w:szCs w:val="14"/>
        <w:lang w:val="de-DE"/>
      </w:rPr>
      <w:t>2</w:t>
    </w:r>
    <w:r w:rsidRPr="004E52B0">
      <w:rPr>
        <w:rFonts w:ascii="Tahoma" w:hAnsi="Tahoma" w:cs="Tahoma"/>
        <w:b/>
        <w:bCs/>
        <w:sz w:val="14"/>
        <w:szCs w:val="14"/>
        <w:lang w:val="de-DE"/>
      </w:rPr>
      <w:fldChar w:fldCharType="end"/>
    </w:r>
  </w:p>
  <w:p w14:paraId="408096B4" w14:textId="0B9973D1" w:rsidR="00B553D6" w:rsidRDefault="00B55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F996" w14:textId="1F3F72C5" w:rsidR="00CF55AB" w:rsidRPr="00D451E0" w:rsidRDefault="000A4F13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004B8D"/>
        <w:sz w:val="14"/>
        <w:szCs w:val="14"/>
        <w:lang w:val="de-DE"/>
      </w:rPr>
    </w:pPr>
    <w:r>
      <w:rPr>
        <w:rFonts w:ascii="Tahoma" w:hAnsi="Tahoma" w:cs="Tahoma"/>
        <w:color w:val="004B8D"/>
        <w:sz w:val="14"/>
        <w:szCs w:val="14"/>
        <w:lang w:val="de-DE"/>
      </w:rPr>
      <w:tab/>
    </w:r>
    <w:r>
      <w:rPr>
        <w:rFonts w:ascii="Tahoma" w:hAnsi="Tahoma" w:cs="Tahoma"/>
        <w:color w:val="004B8D"/>
        <w:sz w:val="14"/>
        <w:szCs w:val="14"/>
        <w:lang w:val="de-DE"/>
      </w:rPr>
      <w:tab/>
    </w:r>
    <w:r>
      <w:rPr>
        <w:rFonts w:ascii="Tahoma" w:hAnsi="Tahoma" w:cs="Tahoma"/>
        <w:color w:val="004B8D"/>
        <w:sz w:val="14"/>
        <w:szCs w:val="14"/>
        <w:lang w:val="de-DE"/>
      </w:rPr>
      <w:tab/>
    </w:r>
    <w:r>
      <w:rPr>
        <w:rFonts w:ascii="Tahoma" w:hAnsi="Tahoma" w:cs="Tahoma"/>
        <w:color w:val="004B8D"/>
        <w:sz w:val="14"/>
        <w:szCs w:val="14"/>
        <w:lang w:val="de-DE"/>
      </w:rPr>
      <w:tab/>
    </w:r>
    <w:r>
      <w:rPr>
        <w:rFonts w:ascii="Tahoma" w:hAnsi="Tahoma" w:cs="Tahoma"/>
        <w:color w:val="004B8D"/>
        <w:sz w:val="14"/>
        <w:szCs w:val="14"/>
        <w:lang w:val="de-DE"/>
      </w:rPr>
      <w:tab/>
    </w:r>
    <w:r w:rsidRPr="00A100B8">
      <w:rPr>
        <w:rFonts w:ascii="Tahoma" w:hAnsi="Tahoma" w:cs="Tahoma"/>
        <w:sz w:val="14"/>
        <w:szCs w:val="14"/>
        <w:lang w:val="de-DE"/>
      </w:rPr>
      <w:tab/>
      <w:t xml:space="preserve">Page </w:t>
    </w:r>
    <w:r w:rsidRPr="00A100B8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Pr="00A100B8">
      <w:rPr>
        <w:rFonts w:ascii="Tahoma" w:hAnsi="Tahoma" w:cs="Tahoma"/>
        <w:b/>
        <w:bCs/>
        <w:sz w:val="14"/>
        <w:szCs w:val="14"/>
        <w:lang w:val="de-DE"/>
      </w:rPr>
      <w:instrText xml:space="preserve"> PAGE  \* Arabic  \* MERGEFORMAT </w:instrText>
    </w:r>
    <w:r w:rsidRPr="00A100B8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Pr="00A100B8">
      <w:rPr>
        <w:rFonts w:ascii="Tahoma" w:hAnsi="Tahoma" w:cs="Tahoma"/>
        <w:b/>
        <w:bCs/>
        <w:sz w:val="14"/>
        <w:szCs w:val="14"/>
        <w:lang w:val="de-DE"/>
      </w:rPr>
      <w:t>2</w:t>
    </w:r>
    <w:r w:rsidRPr="00A100B8">
      <w:rPr>
        <w:rFonts w:ascii="Tahoma" w:hAnsi="Tahoma" w:cs="Tahoma"/>
        <w:b/>
        <w:bCs/>
        <w:sz w:val="14"/>
        <w:szCs w:val="14"/>
        <w:lang w:val="de-DE"/>
      </w:rPr>
      <w:fldChar w:fldCharType="end"/>
    </w:r>
    <w:r w:rsidRPr="00A100B8">
      <w:rPr>
        <w:rFonts w:ascii="Tahoma" w:hAnsi="Tahoma" w:cs="Tahoma"/>
        <w:sz w:val="14"/>
        <w:szCs w:val="14"/>
        <w:lang w:val="de-DE"/>
      </w:rPr>
      <w:t xml:space="preserve"> of </w:t>
    </w:r>
    <w:r w:rsidRPr="00A100B8">
      <w:rPr>
        <w:rFonts w:ascii="Tahoma" w:hAnsi="Tahoma" w:cs="Tahoma"/>
        <w:b/>
        <w:bCs/>
        <w:sz w:val="14"/>
        <w:szCs w:val="14"/>
        <w:lang w:val="de-DE"/>
      </w:rPr>
      <w:fldChar w:fldCharType="begin"/>
    </w:r>
    <w:r w:rsidRPr="00A100B8">
      <w:rPr>
        <w:rFonts w:ascii="Tahoma" w:hAnsi="Tahoma" w:cs="Tahoma"/>
        <w:b/>
        <w:bCs/>
        <w:sz w:val="14"/>
        <w:szCs w:val="14"/>
        <w:lang w:val="de-DE"/>
      </w:rPr>
      <w:instrText xml:space="preserve"> NUMPAGES  \* Arabic  \* MERGEFORMAT </w:instrText>
    </w:r>
    <w:r w:rsidRPr="00A100B8">
      <w:rPr>
        <w:rFonts w:ascii="Tahoma" w:hAnsi="Tahoma" w:cs="Tahoma"/>
        <w:b/>
        <w:bCs/>
        <w:sz w:val="14"/>
        <w:szCs w:val="14"/>
        <w:lang w:val="de-DE"/>
      </w:rPr>
      <w:fldChar w:fldCharType="separate"/>
    </w:r>
    <w:r w:rsidRPr="00A100B8">
      <w:rPr>
        <w:rFonts w:ascii="Tahoma" w:hAnsi="Tahoma" w:cs="Tahoma"/>
        <w:b/>
        <w:bCs/>
        <w:sz w:val="14"/>
        <w:szCs w:val="14"/>
        <w:lang w:val="de-DE"/>
      </w:rPr>
      <w:t>2</w:t>
    </w:r>
    <w:r w:rsidRPr="00A100B8">
      <w:rPr>
        <w:rFonts w:ascii="Tahoma" w:hAnsi="Tahoma" w:cs="Tahoma"/>
        <w:b/>
        <w:bCs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EB94" w14:textId="77777777" w:rsidR="00595006" w:rsidRDefault="00595006" w:rsidP="0020039E">
      <w:pPr>
        <w:spacing w:after="0" w:line="240" w:lineRule="auto"/>
      </w:pPr>
      <w:r>
        <w:separator/>
      </w:r>
    </w:p>
  </w:footnote>
  <w:footnote w:type="continuationSeparator" w:id="0">
    <w:p w14:paraId="3777C91D" w14:textId="77777777" w:rsidR="00595006" w:rsidRDefault="00595006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023A" w14:textId="41D31222" w:rsidR="005F7CD8" w:rsidRDefault="000115A1" w:rsidP="007975AA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t xml:space="preserve">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F68E28F" wp14:editId="635D4642">
          <wp:extent cx="1905000" cy="5715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7CD8">
      <w:rPr>
        <w:noProof/>
      </w:rPr>
      <w:drawing>
        <wp:anchor distT="0" distB="0" distL="114300" distR="114300" simplePos="0" relativeHeight="251668480" behindDoc="0" locked="0" layoutInCell="1" allowOverlap="1" wp14:anchorId="28BA4152" wp14:editId="2D6F2161">
          <wp:simplePos x="0" y="0"/>
          <wp:positionH relativeFrom="column">
            <wp:posOffset>-137795</wp:posOffset>
          </wp:positionH>
          <wp:positionV relativeFrom="paragraph">
            <wp:posOffset>-46990</wp:posOffset>
          </wp:positionV>
          <wp:extent cx="1383894" cy="823178"/>
          <wp:effectExtent l="0" t="0" r="6985" b="0"/>
          <wp:wrapNone/>
          <wp:docPr id="34" name="Picture 34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894" cy="823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8C8FA" w14:textId="385D457D" w:rsidR="005F7CD8" w:rsidRDefault="005F7CD8" w:rsidP="007975AA">
    <w:pPr>
      <w:pStyle w:val="Header"/>
      <w:jc w:val="center"/>
      <w:rPr>
        <w:noProof/>
        <w:lang w:eastAsia="en-GB"/>
      </w:rPr>
    </w:pPr>
  </w:p>
  <w:p w14:paraId="3A6DBE8F" w14:textId="0B62D728" w:rsidR="005F7CD8" w:rsidRDefault="005F7CD8" w:rsidP="000115A1">
    <w:pPr>
      <w:pStyle w:val="Header"/>
      <w:tabs>
        <w:tab w:val="left" w:pos="4020"/>
      </w:tabs>
      <w:rPr>
        <w:rFonts w:ascii="Century Gothic" w:eastAsia="Times New Roman" w:hAnsi="Century Gothic" w:cs="Times New Roman"/>
        <w:b/>
        <w:sz w:val="24"/>
        <w:szCs w:val="24"/>
        <w:lang w:eastAsia="en-GB"/>
      </w:rPr>
    </w:pPr>
  </w:p>
  <w:p w14:paraId="35A91415" w14:textId="45130792" w:rsidR="005F7CD8" w:rsidRDefault="005F7CD8" w:rsidP="007975AA">
    <w:pPr>
      <w:pStyle w:val="Header"/>
      <w:jc w:val="center"/>
      <w:rPr>
        <w:rFonts w:ascii="Century Gothic" w:eastAsia="Times New Roman" w:hAnsi="Century Gothic" w:cs="Times New Roman"/>
        <w:b/>
        <w:sz w:val="24"/>
        <w:szCs w:val="24"/>
        <w:lang w:eastAsia="en-GB"/>
      </w:rPr>
    </w:pPr>
    <w:r>
      <w:rPr>
        <w:rFonts w:ascii="Century Gothic" w:eastAsia="Times New Roman" w:hAnsi="Century Gothic" w:cs="Times New Roman"/>
        <w:b/>
        <w:sz w:val="24"/>
        <w:szCs w:val="24"/>
        <w:lang w:eastAsia="en-GB"/>
      </w:rPr>
      <w:ptab w:relativeTo="indent" w:alignment="center" w:leader="none"/>
    </w:r>
    <w:r>
      <w:rPr>
        <w:rFonts w:ascii="Century Gothic" w:eastAsia="Times New Roman" w:hAnsi="Century Gothic" w:cs="Times New Roman"/>
        <w:b/>
        <w:sz w:val="24"/>
        <w:szCs w:val="24"/>
        <w:lang w:eastAsia="en-GB"/>
      </w:rPr>
      <w:ptab w:relativeTo="margin" w:alignment="center" w:leader="none"/>
    </w:r>
  </w:p>
  <w:p w14:paraId="19D3F993" w14:textId="1F3445B3" w:rsidR="00CF55AB" w:rsidRDefault="007975AA" w:rsidP="007975AA">
    <w:pPr>
      <w:pStyle w:val="Header"/>
      <w:jc w:val="center"/>
    </w:pPr>
    <w:r w:rsidRPr="007975AA">
      <w:rPr>
        <w:rFonts w:ascii="Century Gothic" w:eastAsia="Times New Roman" w:hAnsi="Century Gothic" w:cs="Times New Roman"/>
        <w:b/>
        <w:sz w:val="24"/>
        <w:szCs w:val="24"/>
        <w:lang w:eastAsia="en-GB"/>
      </w:rPr>
      <w:t>Role Description &amp; Person Profile</w:t>
    </w:r>
    <w:r w:rsidRPr="007975AA">
      <w:rPr>
        <w:noProof/>
        <w:sz w:val="28"/>
        <w:szCs w:val="28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6036"/>
    <w:multiLevelType w:val="hybridMultilevel"/>
    <w:tmpl w:val="0DFA734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9938A1"/>
    <w:multiLevelType w:val="hybridMultilevel"/>
    <w:tmpl w:val="6DF85562"/>
    <w:lvl w:ilvl="0" w:tplc="1F26514A">
      <w:start w:val="1"/>
      <w:numFmt w:val="bullet"/>
      <w:pStyle w:val="BodyBullet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E6D23"/>
    <w:multiLevelType w:val="multilevel"/>
    <w:tmpl w:val="4200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4" w15:restartNumberingAfterBreak="0">
    <w:nsid w:val="57AF2C2B"/>
    <w:multiLevelType w:val="hybridMultilevel"/>
    <w:tmpl w:val="6B6C98DE"/>
    <w:lvl w:ilvl="0" w:tplc="08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2B27D7"/>
    <w:multiLevelType w:val="multilevel"/>
    <w:tmpl w:val="CE90F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13013E"/>
    <w:multiLevelType w:val="hybridMultilevel"/>
    <w:tmpl w:val="3E443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B638B"/>
    <w:multiLevelType w:val="hybridMultilevel"/>
    <w:tmpl w:val="0330AD4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310DC"/>
    <w:multiLevelType w:val="multilevel"/>
    <w:tmpl w:val="CE90F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7665441">
    <w:abstractNumId w:val="3"/>
  </w:num>
  <w:num w:numId="2" w16cid:durableId="1980114840">
    <w:abstractNumId w:val="1"/>
  </w:num>
  <w:num w:numId="3" w16cid:durableId="637994311">
    <w:abstractNumId w:val="6"/>
  </w:num>
  <w:num w:numId="4" w16cid:durableId="566384793">
    <w:abstractNumId w:val="5"/>
  </w:num>
  <w:num w:numId="5" w16cid:durableId="936787485">
    <w:abstractNumId w:val="8"/>
  </w:num>
  <w:num w:numId="6" w16cid:durableId="889803748">
    <w:abstractNumId w:val="0"/>
  </w:num>
  <w:num w:numId="7" w16cid:durableId="537665183">
    <w:abstractNumId w:val="7"/>
  </w:num>
  <w:num w:numId="8" w16cid:durableId="761994956">
    <w:abstractNumId w:val="4"/>
  </w:num>
  <w:num w:numId="9" w16cid:durableId="1700248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03FB3"/>
    <w:rsid w:val="000115A1"/>
    <w:rsid w:val="00047D96"/>
    <w:rsid w:val="0005796F"/>
    <w:rsid w:val="00061A0A"/>
    <w:rsid w:val="0008059E"/>
    <w:rsid w:val="000A4F13"/>
    <w:rsid w:val="000B299D"/>
    <w:rsid w:val="000B6B7A"/>
    <w:rsid w:val="000D0D6F"/>
    <w:rsid w:val="000E3C91"/>
    <w:rsid w:val="000F497B"/>
    <w:rsid w:val="00144D59"/>
    <w:rsid w:val="00161C77"/>
    <w:rsid w:val="00163A3B"/>
    <w:rsid w:val="00165465"/>
    <w:rsid w:val="00184DD9"/>
    <w:rsid w:val="001B7B1C"/>
    <w:rsid w:val="0020039E"/>
    <w:rsid w:val="0020713A"/>
    <w:rsid w:val="002240C9"/>
    <w:rsid w:val="0023163C"/>
    <w:rsid w:val="00240F4B"/>
    <w:rsid w:val="00243117"/>
    <w:rsid w:val="00253BA4"/>
    <w:rsid w:val="002645D0"/>
    <w:rsid w:val="00272C79"/>
    <w:rsid w:val="00275D4C"/>
    <w:rsid w:val="00284A02"/>
    <w:rsid w:val="002A6E5C"/>
    <w:rsid w:val="002E4A25"/>
    <w:rsid w:val="002F0AFE"/>
    <w:rsid w:val="003013D5"/>
    <w:rsid w:val="00321F47"/>
    <w:rsid w:val="00330827"/>
    <w:rsid w:val="0037320A"/>
    <w:rsid w:val="00375AAC"/>
    <w:rsid w:val="003B6AC9"/>
    <w:rsid w:val="003B7128"/>
    <w:rsid w:val="003F5364"/>
    <w:rsid w:val="0040764A"/>
    <w:rsid w:val="004107AD"/>
    <w:rsid w:val="004148B9"/>
    <w:rsid w:val="0042170F"/>
    <w:rsid w:val="0042559A"/>
    <w:rsid w:val="00426564"/>
    <w:rsid w:val="004848CC"/>
    <w:rsid w:val="004D3719"/>
    <w:rsid w:val="004D5D12"/>
    <w:rsid w:val="004E50E1"/>
    <w:rsid w:val="004E52B0"/>
    <w:rsid w:val="00501786"/>
    <w:rsid w:val="00523401"/>
    <w:rsid w:val="00527904"/>
    <w:rsid w:val="00554CD7"/>
    <w:rsid w:val="00595006"/>
    <w:rsid w:val="005F7CD8"/>
    <w:rsid w:val="00620764"/>
    <w:rsid w:val="00627169"/>
    <w:rsid w:val="00641315"/>
    <w:rsid w:val="00663E34"/>
    <w:rsid w:val="0067210D"/>
    <w:rsid w:val="006B0CED"/>
    <w:rsid w:val="006C5F6C"/>
    <w:rsid w:val="006D14B9"/>
    <w:rsid w:val="0071672D"/>
    <w:rsid w:val="007413B1"/>
    <w:rsid w:val="00760053"/>
    <w:rsid w:val="00780297"/>
    <w:rsid w:val="0078129E"/>
    <w:rsid w:val="00791719"/>
    <w:rsid w:val="007975AA"/>
    <w:rsid w:val="007B3BDE"/>
    <w:rsid w:val="007B3E61"/>
    <w:rsid w:val="007D2251"/>
    <w:rsid w:val="007D726B"/>
    <w:rsid w:val="00813291"/>
    <w:rsid w:val="008219D7"/>
    <w:rsid w:val="00824371"/>
    <w:rsid w:val="008639BD"/>
    <w:rsid w:val="008837AB"/>
    <w:rsid w:val="00893582"/>
    <w:rsid w:val="008B01A3"/>
    <w:rsid w:val="008C57B4"/>
    <w:rsid w:val="009019E7"/>
    <w:rsid w:val="009426E6"/>
    <w:rsid w:val="00950BFE"/>
    <w:rsid w:val="00965975"/>
    <w:rsid w:val="00974071"/>
    <w:rsid w:val="009C23B5"/>
    <w:rsid w:val="009D4E27"/>
    <w:rsid w:val="009E758D"/>
    <w:rsid w:val="009F3689"/>
    <w:rsid w:val="00A05C7C"/>
    <w:rsid w:val="00A100B8"/>
    <w:rsid w:val="00A12E4B"/>
    <w:rsid w:val="00A13974"/>
    <w:rsid w:val="00A41C67"/>
    <w:rsid w:val="00A445A9"/>
    <w:rsid w:val="00A60D75"/>
    <w:rsid w:val="00A858AA"/>
    <w:rsid w:val="00AB178B"/>
    <w:rsid w:val="00AC234D"/>
    <w:rsid w:val="00AD4642"/>
    <w:rsid w:val="00B024DC"/>
    <w:rsid w:val="00B044D1"/>
    <w:rsid w:val="00B12695"/>
    <w:rsid w:val="00B30736"/>
    <w:rsid w:val="00B37315"/>
    <w:rsid w:val="00B46E32"/>
    <w:rsid w:val="00B51E12"/>
    <w:rsid w:val="00B553D6"/>
    <w:rsid w:val="00B64C54"/>
    <w:rsid w:val="00B91F16"/>
    <w:rsid w:val="00B94C5F"/>
    <w:rsid w:val="00B96573"/>
    <w:rsid w:val="00BD4453"/>
    <w:rsid w:val="00BE17DF"/>
    <w:rsid w:val="00C14B01"/>
    <w:rsid w:val="00C33E22"/>
    <w:rsid w:val="00C4670C"/>
    <w:rsid w:val="00C63E27"/>
    <w:rsid w:val="00C837AD"/>
    <w:rsid w:val="00C91CBE"/>
    <w:rsid w:val="00CB0EF0"/>
    <w:rsid w:val="00CD5A50"/>
    <w:rsid w:val="00CF55AB"/>
    <w:rsid w:val="00D03862"/>
    <w:rsid w:val="00D1405C"/>
    <w:rsid w:val="00D156DE"/>
    <w:rsid w:val="00D266DC"/>
    <w:rsid w:val="00D27CC1"/>
    <w:rsid w:val="00D451E0"/>
    <w:rsid w:val="00D51F27"/>
    <w:rsid w:val="00E00722"/>
    <w:rsid w:val="00E12102"/>
    <w:rsid w:val="00E16EFF"/>
    <w:rsid w:val="00E2658C"/>
    <w:rsid w:val="00E364E8"/>
    <w:rsid w:val="00E452AE"/>
    <w:rsid w:val="00E636CC"/>
    <w:rsid w:val="00E714A7"/>
    <w:rsid w:val="00E76768"/>
    <w:rsid w:val="00E90873"/>
    <w:rsid w:val="00EA1207"/>
    <w:rsid w:val="00EC04BE"/>
    <w:rsid w:val="00ED10B6"/>
    <w:rsid w:val="00ED3A2C"/>
    <w:rsid w:val="00EE224C"/>
    <w:rsid w:val="00EF202C"/>
    <w:rsid w:val="00F0176F"/>
    <w:rsid w:val="00F241B9"/>
    <w:rsid w:val="00F260C5"/>
    <w:rsid w:val="00F4567E"/>
    <w:rsid w:val="00F53C32"/>
    <w:rsid w:val="00F62EF9"/>
    <w:rsid w:val="00F80140"/>
    <w:rsid w:val="00F87D82"/>
    <w:rsid w:val="00FB5FAB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1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1">
    <w:name w:val="_Body Bullet 1"/>
    <w:basedOn w:val="Normal"/>
    <w:rsid w:val="00B37315"/>
    <w:pPr>
      <w:numPr>
        <w:numId w:val="2"/>
      </w:numPr>
      <w:tabs>
        <w:tab w:val="left" w:pos="284"/>
      </w:tabs>
      <w:spacing w:before="40" w:after="80" w:line="320" w:lineRule="atLeast"/>
    </w:pPr>
    <w:rPr>
      <w:rFonts w:ascii="Garamond" w:eastAsia="Times New Roman" w:hAnsi="Garamond" w:cs="Times New Roman"/>
      <w:szCs w:val="20"/>
    </w:rPr>
  </w:style>
  <w:style w:type="paragraph" w:styleId="Revision">
    <w:name w:val="Revision"/>
    <w:hidden/>
    <w:uiPriority w:val="99"/>
    <w:semiHidden/>
    <w:rsid w:val="00AD464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43117"/>
  </w:style>
  <w:style w:type="character" w:customStyle="1" w:styleId="eop">
    <w:name w:val="eop"/>
    <w:basedOn w:val="DefaultParagraphFont"/>
    <w:rsid w:val="00243117"/>
  </w:style>
  <w:style w:type="paragraph" w:customStyle="1" w:styleId="BodyA">
    <w:name w:val="Body A"/>
    <w:rsid w:val="00EA12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Props1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Ben Riley</cp:lastModifiedBy>
  <cp:revision>2</cp:revision>
  <cp:lastPrinted>2015-08-11T09:10:00Z</cp:lastPrinted>
  <dcterms:created xsi:type="dcterms:W3CDTF">2025-09-27T11:06:00Z</dcterms:created>
  <dcterms:modified xsi:type="dcterms:W3CDTF">2025-09-27T11:06:00Z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