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0D1D8FC7" w:rsidR="00D451E0" w:rsidRPr="00E92205" w:rsidRDefault="00F97CBF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Quality Assurance</w:t>
            </w:r>
            <w:r w:rsidR="00B00441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Manager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326E2585" w:rsidR="00E12102" w:rsidRPr="00E92205" w:rsidRDefault="00F97CBF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National Feed Safety, Quality and Regulatory Manager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6E264689" w:rsidR="00E12102" w:rsidRPr="00E92205" w:rsidRDefault="00F97CBF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Home Based </w:t>
            </w:r>
            <w:r w:rsidR="00BF62CD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– Regionally located specific to sites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78BD5736" w14:textId="77777777" w:rsidR="00E12102" w:rsidRDefault="00BF62CD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None</w:t>
            </w:r>
          </w:p>
          <w:p w14:paraId="1225DCCE" w14:textId="289A9DD9" w:rsidR="002A5FFC" w:rsidRPr="00E92205" w:rsidRDefault="002A5FF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4542EAE1" w14:textId="77777777" w:rsidR="005B1B35" w:rsidRPr="005D79BD" w:rsidRDefault="005B1B35" w:rsidP="005B1B35">
            <w:pPr>
              <w:spacing w:before="30" w:afterLines="30" w:after="72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Responsible for the Quality Assurance of the products ABN supplies to customers and ensuring Feed Safety principles are upheld within the business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AE7A23">
              <w:rPr>
                <w:rFonts w:ascii="Century Gothic" w:hAnsi="Century Gothic"/>
                <w:sz w:val="20"/>
                <w:szCs w:val="20"/>
              </w:rPr>
              <w:t xml:space="preserve"> understands the challenges of balancing customer requirements and Operational &amp; Business objectives, with the delivery of compliance, quality and feed safety.</w:t>
            </w:r>
          </w:p>
          <w:p w14:paraId="0EDC1923" w14:textId="33398E7C" w:rsidR="00B553D6" w:rsidRPr="000C30B4" w:rsidRDefault="005B1B35" w:rsidP="005B1B35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Working collaboratively across functions, particularly Supply Chain, and engaging with customers so that the business and customers are confident in the quality and safety of the products supplied.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7A1482EE" w14:textId="48BB3BE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Taking personal responsibility for Feed Safety and Quality in your designated sites (and others whe</w:t>
            </w:r>
            <w:r w:rsidR="009F7D2B">
              <w:rPr>
                <w:rFonts w:ascii="Century Gothic" w:hAnsi="Century Gothic"/>
                <w:sz w:val="20"/>
                <w:szCs w:val="20"/>
              </w:rPr>
              <w:t>re</w:t>
            </w:r>
            <w:r w:rsidRPr="005D79BD">
              <w:rPr>
                <w:rFonts w:ascii="Century Gothic" w:hAnsi="Century Gothic"/>
                <w:sz w:val="20"/>
                <w:szCs w:val="20"/>
              </w:rPr>
              <w:t xml:space="preserve"> require</w:t>
            </w:r>
            <w:r w:rsidR="009F7D2B">
              <w:rPr>
                <w:rFonts w:ascii="Century Gothic" w:hAnsi="Century Gothic"/>
                <w:sz w:val="20"/>
                <w:szCs w:val="20"/>
              </w:rPr>
              <w:t>d</w:t>
            </w:r>
            <w:r w:rsidRPr="005D79BD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14:paraId="7FEFCFAE" w14:textId="3011CF4D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Working closely with Operations to ensure that actions in relation to compliance, product quality, and feed safety are delivered.</w:t>
            </w:r>
          </w:p>
          <w:p w14:paraId="2DFF43B8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Ensuring Operations, Customer Services and all Commercial departments understand what is required of them in respect of Feed Safety and Quality.</w:t>
            </w:r>
          </w:p>
          <w:p w14:paraId="34D5A6E9" w14:textId="06B1D988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 xml:space="preserve">Ensure relevant engagement to manage complaints through to resolution, at aligned sites, supporting Supply Chain (centrally and at site level) with root cause investigation and corrective actions, which may include </w:t>
            </w:r>
            <w:r w:rsidR="001D37B5">
              <w:rPr>
                <w:rFonts w:ascii="Century Gothic" w:hAnsi="Century Gothic"/>
                <w:sz w:val="20"/>
                <w:szCs w:val="20"/>
              </w:rPr>
              <w:t>Third Party Supply</w:t>
            </w:r>
            <w:r w:rsidRPr="005D79BD">
              <w:rPr>
                <w:rFonts w:ascii="Century Gothic" w:hAnsi="Century Gothic"/>
                <w:sz w:val="20"/>
                <w:szCs w:val="20"/>
              </w:rPr>
              <w:t>, Customer Services, Central Transport, Procurement and Nutrition.</w:t>
            </w:r>
          </w:p>
          <w:p w14:paraId="037113E9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Facilitate the use of reports, data and information both internally and with customers where relevant.</w:t>
            </w:r>
          </w:p>
          <w:p w14:paraId="24158E43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Work with Commercial colleagues to build and maintain relationships with customers to gain trust and confidence in product quality and feed safety.</w:t>
            </w:r>
          </w:p>
          <w:p w14:paraId="69FF7827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Identifying gaps in existing feed safety and quality management processes and work collaboratively to implement documented controls and systems.</w:t>
            </w:r>
          </w:p>
          <w:p w14:paraId="08B16BE1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Contribute to and support the team in the development and review of procedures, referencing AB Agri policy and business/industry requirements.</w:t>
            </w:r>
          </w:p>
          <w:p w14:paraId="198445F2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Deliver and support delivery of relevant feed safety and feed quality training at mill level (including induction training, UFAS feed safety training and specific quality activities)</w:t>
            </w:r>
          </w:p>
          <w:p w14:paraId="027C1907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Ensure that aligned sites comply with the law and relevant feed assurance schemes, in line with ABN and AB Agri Quality Policy and customer requirements.</w:t>
            </w:r>
          </w:p>
          <w:p w14:paraId="6DD8D94A" w14:textId="7DBA732E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Ensuring the maintenance, regular review and development of HACCP Studies to ensure that Feed and Food Safety is central to the business.</w:t>
            </w:r>
          </w:p>
          <w:p w14:paraId="3314CB1F" w14:textId="77777777" w:rsidR="00861D91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Participation in external industry and customer audits and providing follow up, internal auditing and corrective action resolution and reporting support.</w:t>
            </w:r>
          </w:p>
          <w:p w14:paraId="3FC12992" w14:textId="77777777" w:rsidR="00861D91" w:rsidRPr="005D79BD" w:rsidRDefault="00861D91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lastRenderedPageBreak/>
              <w:t>An ability to translate and deliver quality and feed safety related information in a clear understandable and engaging way.</w:t>
            </w:r>
          </w:p>
          <w:p w14:paraId="50704CC2" w14:textId="7064A08D" w:rsidR="00E12102" w:rsidRPr="00E92205" w:rsidRDefault="00861D91" w:rsidP="00861D91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Ability to challenge in a constructive way to achieve quality and feed safety focused outcomes.</w:t>
            </w:r>
          </w:p>
        </w:tc>
      </w:tr>
      <w:tr w:rsidR="00D11F73" w:rsidRPr="00E92205" w14:paraId="2CDAEF48" w14:textId="77777777" w:rsidTr="00077587">
        <w:tc>
          <w:tcPr>
            <w:tcW w:w="2548" w:type="dxa"/>
          </w:tcPr>
          <w:p w14:paraId="182FF777" w14:textId="4A39BD64" w:rsidR="00D11F73" w:rsidRPr="00E92205" w:rsidRDefault="00D11F73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Key Stakeholders:</w:t>
            </w:r>
          </w:p>
        </w:tc>
        <w:tc>
          <w:tcPr>
            <w:tcW w:w="7092" w:type="dxa"/>
            <w:vAlign w:val="bottom"/>
          </w:tcPr>
          <w:p w14:paraId="03353FBD" w14:textId="68E0E7BF" w:rsidR="00D11F73" w:rsidRPr="005D79BD" w:rsidRDefault="00317980" w:rsidP="00861D91">
            <w:pPr>
              <w:pStyle w:val="ListParagraph"/>
              <w:numPr>
                <w:ilvl w:val="0"/>
                <w:numId w:val="23"/>
              </w:num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D79BD">
              <w:rPr>
                <w:rFonts w:ascii="Century Gothic" w:hAnsi="Century Gothic"/>
                <w:sz w:val="20"/>
                <w:szCs w:val="20"/>
              </w:rPr>
              <w:t>Operations managers at the aligned mills; Commercial colleagues; Customer Support team; Transport team (central and mill); Nutrition team and QA colleagues and key customer relationships.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45B9F9AB" w:rsidR="00D266DC" w:rsidRPr="00E92205" w:rsidRDefault="00E64958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None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9E2088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09C5CBF1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Previous experience of working in a Quality environment ideally within manufacturing, Animal Feed or similar industry.</w:t>
            </w:r>
          </w:p>
        </w:tc>
        <w:tc>
          <w:tcPr>
            <w:tcW w:w="4820" w:type="dxa"/>
            <w:shd w:val="clear" w:color="auto" w:fill="auto"/>
          </w:tcPr>
          <w:p w14:paraId="7A20300B" w14:textId="1C7F0CDB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Understanding of feed milling operations and UFAS requirements</w:t>
            </w:r>
          </w:p>
        </w:tc>
      </w:tr>
      <w:tr w:rsidR="009E2088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042D871D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Excellent attention to detail, especially in compiling and presenting data and reports</w:t>
            </w:r>
          </w:p>
        </w:tc>
        <w:tc>
          <w:tcPr>
            <w:tcW w:w="4820" w:type="dxa"/>
            <w:shd w:val="clear" w:color="auto" w:fill="auto"/>
          </w:tcPr>
          <w:p w14:paraId="786BB9A8" w14:textId="511CE8C0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 xml:space="preserve">Qualified to HACCP </w:t>
            </w:r>
            <w:r>
              <w:rPr>
                <w:rFonts w:ascii="Century Gothic" w:hAnsi="Century Gothic"/>
              </w:rPr>
              <w:t xml:space="preserve">Level </w:t>
            </w:r>
            <w:r w:rsidRPr="005D79BD">
              <w:rPr>
                <w:rFonts w:ascii="Century Gothic" w:hAnsi="Century Gothic"/>
              </w:rPr>
              <w:t xml:space="preserve">3 </w:t>
            </w:r>
          </w:p>
        </w:tc>
      </w:tr>
      <w:tr w:rsidR="009E2088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61A51D9A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Analytical, with effective problem-solving skills, through both practical investigation and data interpretation</w:t>
            </w:r>
          </w:p>
        </w:tc>
        <w:tc>
          <w:tcPr>
            <w:tcW w:w="4820" w:type="dxa"/>
            <w:shd w:val="clear" w:color="auto" w:fill="auto"/>
          </w:tcPr>
          <w:p w14:paraId="43A8DC32" w14:textId="5D19FA9F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Previous experience of dealing with external customers to communicate and support on quality matters such and complaints, investigation findings and general data review.</w:t>
            </w:r>
          </w:p>
        </w:tc>
      </w:tr>
      <w:tr w:rsidR="009E2088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166D9462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Highly effective verbal communication skills with the ability to tailor messages to the needs of the recipients</w:t>
            </w:r>
            <w:r>
              <w:rPr>
                <w:rFonts w:ascii="Century Gothic" w:hAnsi="Century Gothic"/>
              </w:rPr>
              <w:t xml:space="preserve"> with previous experience of handling complaints and following communication through to resolution</w:t>
            </w:r>
          </w:p>
        </w:tc>
        <w:tc>
          <w:tcPr>
            <w:tcW w:w="4820" w:type="dxa"/>
            <w:shd w:val="clear" w:color="auto" w:fill="auto"/>
          </w:tcPr>
          <w:p w14:paraId="08FEA55A" w14:textId="48B07CAE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Understanding of Assurance Schemes and Retailer codes of Practice relating to their supply chains.</w:t>
            </w:r>
          </w:p>
        </w:tc>
      </w:tr>
      <w:tr w:rsidR="009E2088" w:rsidRPr="00E92205" w14:paraId="19EE2AF4" w14:textId="77777777" w:rsidTr="00077587">
        <w:tc>
          <w:tcPr>
            <w:tcW w:w="2320" w:type="dxa"/>
          </w:tcPr>
          <w:p w14:paraId="3E08EDAB" w14:textId="13B7018D" w:rsidR="009E2088" w:rsidRPr="00E92205" w:rsidRDefault="009E2088" w:rsidP="009E2088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3CF17DE2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  <w:r w:rsidRPr="00BC760C">
              <w:rPr>
                <w:rFonts w:ascii="Century Gothic" w:hAnsi="Century Gothic"/>
              </w:rPr>
              <w:t>A desire to drive improvements in procedures and processes in response to non-conforming data.</w:t>
            </w:r>
          </w:p>
          <w:p w14:paraId="177709DE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</w:p>
          <w:p w14:paraId="4CC2370E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  <w:r w:rsidRPr="00BC760C">
              <w:rPr>
                <w:rFonts w:ascii="Century Gothic" w:hAnsi="Century Gothic"/>
              </w:rPr>
              <w:t>Skilled at listening with an ability to demonstrate customer focus and empathy.</w:t>
            </w:r>
          </w:p>
          <w:p w14:paraId="51C6F0C5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</w:p>
          <w:p w14:paraId="580FA9DB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  <w:r w:rsidRPr="00BC760C">
              <w:rPr>
                <w:rFonts w:ascii="Century Gothic" w:hAnsi="Century Gothic"/>
              </w:rPr>
              <w:t>Understanding the requirements for safe products of the right quality.</w:t>
            </w:r>
          </w:p>
          <w:p w14:paraId="6BF40CCC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</w:p>
          <w:p w14:paraId="0C9BF0F0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  <w:r w:rsidRPr="00BC760C">
              <w:rPr>
                <w:rFonts w:ascii="Century Gothic" w:hAnsi="Century Gothic"/>
              </w:rPr>
              <w:t>Commercial acumen and an appreciation of the impact of feed safety and quality issues on business results.</w:t>
            </w:r>
          </w:p>
          <w:p w14:paraId="5576E05B" w14:textId="77777777" w:rsidR="00BC760C" w:rsidRPr="00BC760C" w:rsidRDefault="00BC760C" w:rsidP="00BC760C">
            <w:pPr>
              <w:jc w:val="both"/>
              <w:rPr>
                <w:rFonts w:ascii="Century Gothic" w:hAnsi="Century Gothic"/>
              </w:rPr>
            </w:pPr>
          </w:p>
          <w:p w14:paraId="60962ED9" w14:textId="77777777" w:rsidR="009E2088" w:rsidRDefault="00BC760C" w:rsidP="00A361CC">
            <w:pPr>
              <w:jc w:val="both"/>
              <w:rPr>
                <w:rFonts w:ascii="Century Gothic" w:hAnsi="Century Gothic"/>
              </w:rPr>
            </w:pPr>
            <w:r w:rsidRPr="00BC760C">
              <w:rPr>
                <w:rFonts w:ascii="Century Gothic" w:hAnsi="Century Gothic"/>
              </w:rPr>
              <w:t>A collaborative style of working with colleagues to attain the best outcomes.</w:t>
            </w:r>
          </w:p>
          <w:p w14:paraId="01E06E25" w14:textId="47D879B4" w:rsidR="00A361CC" w:rsidRPr="00A361CC" w:rsidRDefault="00A361CC" w:rsidP="00A361CC">
            <w:pPr>
              <w:jc w:val="both"/>
              <w:rPr>
                <w:rFonts w:ascii="Century Gothic" w:hAnsi="Century Gothic"/>
              </w:rPr>
            </w:pPr>
          </w:p>
        </w:tc>
      </w:tr>
      <w:tr w:rsidR="009E2088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9E2088" w:rsidRPr="00E92205" w:rsidRDefault="009E2088" w:rsidP="009E2088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9E2088" w:rsidRPr="00E92205" w:rsidRDefault="009E2088" w:rsidP="009E2088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4790921C" w14:textId="77777777" w:rsidR="00150BDB" w:rsidRPr="00A361CC" w:rsidRDefault="00150BDB" w:rsidP="00A361CC">
            <w:pPr>
              <w:spacing w:before="30" w:after="30"/>
              <w:rPr>
                <w:rFonts w:ascii="Century Gothic" w:hAnsi="Century Gothic"/>
              </w:rPr>
            </w:pPr>
            <w:r w:rsidRPr="00A361CC">
              <w:rPr>
                <w:rFonts w:ascii="Century Gothic" w:hAnsi="Century Gothic"/>
              </w:rPr>
              <w:t>This role will require travel within the UK and some overnight stays. Travel will mainly be to aligned supply chain sites, customers and to Head Office (Peterborough).</w:t>
            </w:r>
          </w:p>
          <w:p w14:paraId="15353DAE" w14:textId="77777777" w:rsidR="00A361CC" w:rsidRDefault="00A361CC" w:rsidP="00150BDB">
            <w:pPr>
              <w:spacing w:before="40" w:after="40"/>
              <w:rPr>
                <w:rFonts w:ascii="Century Gothic" w:hAnsi="Century Gothic"/>
              </w:rPr>
            </w:pPr>
          </w:p>
          <w:p w14:paraId="5FA9A984" w14:textId="5153C18E" w:rsidR="009E2088" w:rsidRPr="00E92205" w:rsidRDefault="00150BDB" w:rsidP="00150BD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5D79BD">
              <w:rPr>
                <w:rFonts w:ascii="Century Gothic" w:hAnsi="Century Gothic"/>
              </w:rPr>
              <w:t>Full UK Driving Licence</w:t>
            </w:r>
            <w:r>
              <w:rPr>
                <w:rFonts w:ascii="Century Gothic" w:hAnsi="Century Gothic"/>
              </w:rPr>
              <w:t xml:space="preserve"> will be required for the role.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BD5A" w14:textId="77777777" w:rsidR="00375AAC" w:rsidRDefault="00375AAC" w:rsidP="0020039E">
      <w:pPr>
        <w:spacing w:after="0" w:line="240" w:lineRule="auto"/>
      </w:pPr>
      <w:r>
        <w:separator/>
      </w:r>
    </w:p>
  </w:endnote>
  <w:endnote w:type="continuationSeparator" w:id="0">
    <w:p w14:paraId="05B36B95" w14:textId="77777777" w:rsidR="00375AAC" w:rsidRDefault="00375AAC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6AA2" w14:textId="77777777" w:rsidR="00375AAC" w:rsidRDefault="00375AAC" w:rsidP="0020039E">
      <w:pPr>
        <w:spacing w:after="0" w:line="240" w:lineRule="auto"/>
      </w:pPr>
      <w:r>
        <w:separator/>
      </w:r>
    </w:p>
  </w:footnote>
  <w:footnote w:type="continuationSeparator" w:id="0">
    <w:p w14:paraId="74CA946D" w14:textId="77777777" w:rsidR="00375AAC" w:rsidRDefault="00375AAC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04199"/>
    <w:multiLevelType w:val="hybridMultilevel"/>
    <w:tmpl w:val="B46A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1" w15:restartNumberingAfterBreak="0">
    <w:nsid w:val="57D25FD0"/>
    <w:multiLevelType w:val="hybridMultilevel"/>
    <w:tmpl w:val="0E0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7"/>
  </w:num>
  <w:num w:numId="2" w16cid:durableId="1517424946">
    <w:abstractNumId w:val="27"/>
  </w:num>
  <w:num w:numId="3" w16cid:durableId="609245925">
    <w:abstractNumId w:val="5"/>
  </w:num>
  <w:num w:numId="4" w16cid:durableId="1822189727">
    <w:abstractNumId w:val="9"/>
  </w:num>
  <w:num w:numId="5" w16cid:durableId="1759054776">
    <w:abstractNumId w:val="24"/>
  </w:num>
  <w:num w:numId="6" w16cid:durableId="602222349">
    <w:abstractNumId w:val="6"/>
  </w:num>
  <w:num w:numId="7" w16cid:durableId="984697127">
    <w:abstractNumId w:val="22"/>
  </w:num>
  <w:num w:numId="8" w16cid:durableId="1103769425">
    <w:abstractNumId w:val="18"/>
  </w:num>
  <w:num w:numId="9" w16cid:durableId="1376739174">
    <w:abstractNumId w:val="7"/>
  </w:num>
  <w:num w:numId="10" w16cid:durableId="1858470076">
    <w:abstractNumId w:val="12"/>
  </w:num>
  <w:num w:numId="11" w16cid:durableId="2124767254">
    <w:abstractNumId w:val="25"/>
  </w:num>
  <w:num w:numId="12" w16cid:durableId="1133015001">
    <w:abstractNumId w:val="13"/>
  </w:num>
  <w:num w:numId="13" w16cid:durableId="1094864668">
    <w:abstractNumId w:val="14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4"/>
  </w:num>
  <w:num w:numId="17" w16cid:durableId="1881042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5"/>
  </w:num>
  <w:num w:numId="19" w16cid:durableId="1162696557">
    <w:abstractNumId w:val="3"/>
  </w:num>
  <w:num w:numId="20" w16cid:durableId="10998387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6"/>
  </w:num>
  <w:num w:numId="22" w16cid:durableId="1601404175">
    <w:abstractNumId w:val="28"/>
  </w:num>
  <w:num w:numId="23" w16cid:durableId="1878420931">
    <w:abstractNumId w:val="0"/>
  </w:num>
  <w:num w:numId="24" w16cid:durableId="1078208396">
    <w:abstractNumId w:val="23"/>
  </w:num>
  <w:num w:numId="25" w16cid:durableId="1577665441">
    <w:abstractNumId w:val="20"/>
  </w:num>
  <w:num w:numId="26" w16cid:durableId="93477420">
    <w:abstractNumId w:val="29"/>
  </w:num>
  <w:num w:numId="27" w16cid:durableId="1646664576">
    <w:abstractNumId w:val="10"/>
  </w:num>
  <w:num w:numId="28" w16cid:durableId="2108303783">
    <w:abstractNumId w:val="16"/>
  </w:num>
  <w:num w:numId="29" w16cid:durableId="172574575">
    <w:abstractNumId w:val="11"/>
  </w:num>
  <w:num w:numId="30" w16cid:durableId="52780621">
    <w:abstractNumId w:val="2"/>
  </w:num>
  <w:num w:numId="31" w16cid:durableId="10188480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61A0A"/>
    <w:rsid w:val="00077587"/>
    <w:rsid w:val="000A4F13"/>
    <w:rsid w:val="000B299D"/>
    <w:rsid w:val="000C30B4"/>
    <w:rsid w:val="000D0D6F"/>
    <w:rsid w:val="000E3C91"/>
    <w:rsid w:val="000F497B"/>
    <w:rsid w:val="001015F3"/>
    <w:rsid w:val="00150BDB"/>
    <w:rsid w:val="00163A3B"/>
    <w:rsid w:val="00184DD9"/>
    <w:rsid w:val="001B7B1C"/>
    <w:rsid w:val="001D37B5"/>
    <w:rsid w:val="001D40F9"/>
    <w:rsid w:val="0020039E"/>
    <w:rsid w:val="0020713A"/>
    <w:rsid w:val="0023163C"/>
    <w:rsid w:val="00240F4B"/>
    <w:rsid w:val="002645D0"/>
    <w:rsid w:val="00272C79"/>
    <w:rsid w:val="00275D4C"/>
    <w:rsid w:val="00284A02"/>
    <w:rsid w:val="002A5FFC"/>
    <w:rsid w:val="002E4A25"/>
    <w:rsid w:val="002F0AFE"/>
    <w:rsid w:val="00317980"/>
    <w:rsid w:val="00330827"/>
    <w:rsid w:val="003338B8"/>
    <w:rsid w:val="00375AAC"/>
    <w:rsid w:val="00387A67"/>
    <w:rsid w:val="003B6AC9"/>
    <w:rsid w:val="003B7128"/>
    <w:rsid w:val="003F5364"/>
    <w:rsid w:val="0040764A"/>
    <w:rsid w:val="004107AD"/>
    <w:rsid w:val="0042170F"/>
    <w:rsid w:val="0042559A"/>
    <w:rsid w:val="004848CC"/>
    <w:rsid w:val="00501786"/>
    <w:rsid w:val="00523401"/>
    <w:rsid w:val="005534E5"/>
    <w:rsid w:val="00554CD7"/>
    <w:rsid w:val="00565CAB"/>
    <w:rsid w:val="005B1B35"/>
    <w:rsid w:val="005E5258"/>
    <w:rsid w:val="005F75F2"/>
    <w:rsid w:val="00620764"/>
    <w:rsid w:val="00627169"/>
    <w:rsid w:val="00641315"/>
    <w:rsid w:val="006D14B9"/>
    <w:rsid w:val="00736C68"/>
    <w:rsid w:val="007760E0"/>
    <w:rsid w:val="00791719"/>
    <w:rsid w:val="007975AA"/>
    <w:rsid w:val="007A17C5"/>
    <w:rsid w:val="007B3BDE"/>
    <w:rsid w:val="007B6FFF"/>
    <w:rsid w:val="007D2251"/>
    <w:rsid w:val="008219D7"/>
    <w:rsid w:val="00824371"/>
    <w:rsid w:val="00861D91"/>
    <w:rsid w:val="008639BD"/>
    <w:rsid w:val="008837AB"/>
    <w:rsid w:val="00893582"/>
    <w:rsid w:val="008B01A3"/>
    <w:rsid w:val="008C57B4"/>
    <w:rsid w:val="008F33DF"/>
    <w:rsid w:val="009019E7"/>
    <w:rsid w:val="00927859"/>
    <w:rsid w:val="009426E6"/>
    <w:rsid w:val="00950BFE"/>
    <w:rsid w:val="00965975"/>
    <w:rsid w:val="009D4E27"/>
    <w:rsid w:val="009E2088"/>
    <w:rsid w:val="009F3689"/>
    <w:rsid w:val="009F7D2B"/>
    <w:rsid w:val="00A12E4B"/>
    <w:rsid w:val="00A13974"/>
    <w:rsid w:val="00A209F8"/>
    <w:rsid w:val="00A361CC"/>
    <w:rsid w:val="00A445A9"/>
    <w:rsid w:val="00A60D75"/>
    <w:rsid w:val="00A667B7"/>
    <w:rsid w:val="00A858AA"/>
    <w:rsid w:val="00B00441"/>
    <w:rsid w:val="00B12695"/>
    <w:rsid w:val="00B30736"/>
    <w:rsid w:val="00B51E12"/>
    <w:rsid w:val="00B553D6"/>
    <w:rsid w:val="00B94C5F"/>
    <w:rsid w:val="00B96573"/>
    <w:rsid w:val="00BC760C"/>
    <w:rsid w:val="00BD4453"/>
    <w:rsid w:val="00BF62CD"/>
    <w:rsid w:val="00C14B01"/>
    <w:rsid w:val="00C308DF"/>
    <w:rsid w:val="00C4670C"/>
    <w:rsid w:val="00C837AD"/>
    <w:rsid w:val="00C91CBE"/>
    <w:rsid w:val="00CB0EF0"/>
    <w:rsid w:val="00CE43D2"/>
    <w:rsid w:val="00CF55AB"/>
    <w:rsid w:val="00D11F73"/>
    <w:rsid w:val="00D1405C"/>
    <w:rsid w:val="00D156DE"/>
    <w:rsid w:val="00D266DC"/>
    <w:rsid w:val="00D27CC1"/>
    <w:rsid w:val="00D451E0"/>
    <w:rsid w:val="00E12102"/>
    <w:rsid w:val="00E16EFF"/>
    <w:rsid w:val="00E2658C"/>
    <w:rsid w:val="00E364E8"/>
    <w:rsid w:val="00E41F22"/>
    <w:rsid w:val="00E636CC"/>
    <w:rsid w:val="00E64958"/>
    <w:rsid w:val="00E714A7"/>
    <w:rsid w:val="00E90873"/>
    <w:rsid w:val="00E92205"/>
    <w:rsid w:val="00EE224C"/>
    <w:rsid w:val="00EF2B56"/>
    <w:rsid w:val="00F0176F"/>
    <w:rsid w:val="00F260C5"/>
    <w:rsid w:val="00F53C32"/>
    <w:rsid w:val="00F62EF9"/>
    <w:rsid w:val="00F80140"/>
    <w:rsid w:val="00F87D82"/>
    <w:rsid w:val="00F97CBF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Barry Rogers</cp:lastModifiedBy>
  <cp:revision>24</cp:revision>
  <cp:lastPrinted>2015-08-11T09:10:00Z</cp:lastPrinted>
  <dcterms:created xsi:type="dcterms:W3CDTF">2025-02-28T09:02:00Z</dcterms:created>
  <dcterms:modified xsi:type="dcterms:W3CDTF">2025-03-11T11:04:00Z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