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C734" w14:textId="77777777" w:rsidR="002E20A3" w:rsidRDefault="002E20A3" w:rsidP="00077587">
      <w:pPr>
        <w:pStyle w:val="Header"/>
        <w:jc w:val="center"/>
        <w:rPr>
          <w:rFonts w:ascii="Century Gothic" w:eastAsia="Times New Roman" w:hAnsi="Century Gothic" w:cs="Times New Roman"/>
          <w:b/>
          <w:lang w:eastAsia="en-GB"/>
        </w:rPr>
      </w:pPr>
    </w:p>
    <w:p w14:paraId="4B5DDD4D" w14:textId="77777777" w:rsidR="002E20A3" w:rsidRDefault="002E20A3" w:rsidP="00077587">
      <w:pPr>
        <w:pStyle w:val="Header"/>
        <w:jc w:val="center"/>
        <w:rPr>
          <w:rFonts w:ascii="Century Gothic" w:eastAsia="Times New Roman" w:hAnsi="Century Gothic" w:cs="Times New Roman"/>
          <w:b/>
          <w:lang w:eastAsia="en-GB"/>
        </w:rPr>
      </w:pPr>
    </w:p>
    <w:p w14:paraId="6E2532C4" w14:textId="77777777" w:rsidR="002E20A3" w:rsidRDefault="002E20A3" w:rsidP="00077587">
      <w:pPr>
        <w:pStyle w:val="Header"/>
        <w:jc w:val="center"/>
        <w:rPr>
          <w:rFonts w:ascii="Century Gothic" w:eastAsia="Times New Roman" w:hAnsi="Century Gothic" w:cs="Times New Roman"/>
          <w:b/>
          <w:lang w:eastAsia="en-GB"/>
        </w:rPr>
      </w:pPr>
    </w:p>
    <w:p w14:paraId="55302705" w14:textId="6AFFB08E" w:rsidR="00077587" w:rsidRDefault="00077587" w:rsidP="00077587">
      <w:pPr>
        <w:pStyle w:val="Header"/>
        <w:jc w:val="center"/>
        <w:rPr>
          <w:rFonts w:ascii="Century Gothic" w:hAnsi="Century Gothic"/>
          <w:noProof/>
          <w:lang w:eastAsia="en-GB"/>
        </w:rPr>
      </w:pPr>
      <w:r w:rsidRPr="002E20A3">
        <w:rPr>
          <w:rFonts w:ascii="Century Gothic" w:eastAsia="Times New Roman" w:hAnsi="Century Gothic" w:cs="Times New Roman"/>
          <w:b/>
          <w:lang w:eastAsia="en-GB"/>
        </w:rPr>
        <w:t>Role Description &amp; Person Profile</w:t>
      </w:r>
      <w:r w:rsidRPr="002E20A3">
        <w:rPr>
          <w:rFonts w:ascii="Century Gothic" w:hAnsi="Century Gothic"/>
          <w:noProof/>
          <w:lang w:eastAsia="en-GB"/>
        </w:rPr>
        <w:t xml:space="preserve"> </w:t>
      </w:r>
    </w:p>
    <w:p w14:paraId="0085C5E1" w14:textId="77777777" w:rsidR="002E20A3" w:rsidRPr="002E20A3" w:rsidRDefault="002E20A3" w:rsidP="00077587">
      <w:pPr>
        <w:pStyle w:val="Header"/>
        <w:jc w:val="center"/>
        <w:rPr>
          <w:rFonts w:ascii="Century Gothic" w:hAnsi="Century Gothic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6E5721" w:rsidRPr="002E20A3" w14:paraId="4BF2D7C0" w14:textId="77777777" w:rsidTr="00DD0DD0">
        <w:tc>
          <w:tcPr>
            <w:tcW w:w="2548" w:type="dxa"/>
          </w:tcPr>
          <w:p w14:paraId="34421115" w14:textId="77777777" w:rsidR="006E5721" w:rsidRPr="002E20A3" w:rsidRDefault="006E5721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</w:tcPr>
          <w:p w14:paraId="65962413" w14:textId="699D3C3F" w:rsidR="006E5721" w:rsidRPr="002E20A3" w:rsidRDefault="009A6CAE" w:rsidP="009A6CAE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Senior Supply Chain </w:t>
            </w:r>
            <w:r w:rsidR="009F1F1A">
              <w:rPr>
                <w:rFonts w:ascii="Century Gothic" w:hAnsi="Century Gothic"/>
                <w:sz w:val="20"/>
                <w:szCs w:val="20"/>
              </w:rPr>
              <w:t>Coordinator</w:t>
            </w:r>
            <w:r w:rsidR="00DF776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5979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DF7768">
              <w:rPr>
                <w:rFonts w:ascii="Century Gothic" w:hAnsi="Century Gothic"/>
                <w:sz w:val="20"/>
                <w:szCs w:val="20"/>
              </w:rPr>
              <w:t>Operations Lead</w:t>
            </w:r>
          </w:p>
        </w:tc>
      </w:tr>
      <w:tr w:rsidR="006E5721" w:rsidRPr="002E20A3" w14:paraId="2074AB57" w14:textId="77777777" w:rsidTr="00077587">
        <w:tc>
          <w:tcPr>
            <w:tcW w:w="2548" w:type="dxa"/>
          </w:tcPr>
          <w:p w14:paraId="3E4BBB57" w14:textId="77777777" w:rsidR="006E5721" w:rsidRPr="002E20A3" w:rsidRDefault="006E5721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6DBD3C74" w:rsidR="006E5721" w:rsidRPr="002E20A3" w:rsidRDefault="009A6CAE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Head of Supply Chain - Americas</w:t>
            </w:r>
          </w:p>
        </w:tc>
      </w:tr>
      <w:tr w:rsidR="006E5721" w:rsidRPr="002E20A3" w14:paraId="12659DC1" w14:textId="77777777" w:rsidTr="00DD0DD0">
        <w:tc>
          <w:tcPr>
            <w:tcW w:w="2548" w:type="dxa"/>
          </w:tcPr>
          <w:p w14:paraId="36DDFAA7" w14:textId="77777777" w:rsidR="006E5721" w:rsidRPr="002E20A3" w:rsidRDefault="006E5721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bottom"/>
          </w:tcPr>
          <w:p w14:paraId="7CE5AE88" w14:textId="677E06BF" w:rsidR="006E5721" w:rsidRPr="002E20A3" w:rsidRDefault="009A6CAE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North America</w:t>
            </w:r>
          </w:p>
        </w:tc>
      </w:tr>
      <w:tr w:rsidR="006E5721" w:rsidRPr="002E20A3" w14:paraId="519475EB" w14:textId="77777777" w:rsidTr="00077587">
        <w:tc>
          <w:tcPr>
            <w:tcW w:w="2548" w:type="dxa"/>
          </w:tcPr>
          <w:p w14:paraId="09962585" w14:textId="382D8F37" w:rsidR="006E5721" w:rsidRPr="002E20A3" w:rsidRDefault="006E5721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1812A99B" w:rsidR="006E5721" w:rsidRPr="002E20A3" w:rsidRDefault="006E5721" w:rsidP="006E5721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AA0705" w:rsidRPr="002E20A3" w14:paraId="2CBCFB81" w14:textId="77777777" w:rsidTr="00077587">
        <w:tc>
          <w:tcPr>
            <w:tcW w:w="2548" w:type="dxa"/>
          </w:tcPr>
          <w:p w14:paraId="3C3315E7" w14:textId="715526A7" w:rsidR="00AA0705" w:rsidRPr="002E20A3" w:rsidRDefault="00AA0705" w:rsidP="00AA0705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0EDC1923" w14:textId="1FDD99F3" w:rsidR="00AA0705" w:rsidRPr="002E20A3" w:rsidRDefault="009F1F1A" w:rsidP="00C46C20">
            <w:pPr>
              <w:spacing w:before="40" w:after="4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9F1F1A">
              <w:rPr>
                <w:rFonts w:ascii="Century Gothic" w:hAnsi="Century Gothic"/>
                <w:sz w:val="20"/>
                <w:szCs w:val="20"/>
              </w:rPr>
              <w:t xml:space="preserve">Supporting the North American (NAM) supply chain and providing coverage for the NAM team. Contributing to the Global Supply Chain Strategy and executing its implementation across the Americas. 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9F1F1A">
              <w:rPr>
                <w:rFonts w:ascii="Century Gothic" w:hAnsi="Century Gothic"/>
                <w:sz w:val="20"/>
                <w:szCs w:val="20"/>
              </w:rPr>
              <w:t>n doing so, this will improve cost, productivity, quality and efficiency of the operations.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F1F1A">
              <w:rPr>
                <w:rFonts w:ascii="Century Gothic" w:hAnsi="Century Gothic"/>
                <w:sz w:val="20"/>
                <w:szCs w:val="20"/>
              </w:rPr>
              <w:t>Additionally, managing key global projects in alignment with the AB Vista strategy</w:t>
            </w:r>
          </w:p>
        </w:tc>
      </w:tr>
      <w:tr w:rsidR="009A6CAE" w:rsidRPr="002E20A3" w14:paraId="7F3D92A7" w14:textId="77777777" w:rsidTr="009A6CAE">
        <w:trPr>
          <w:trHeight w:val="2400"/>
        </w:trPr>
        <w:tc>
          <w:tcPr>
            <w:tcW w:w="2548" w:type="dxa"/>
          </w:tcPr>
          <w:p w14:paraId="477CA338" w14:textId="0C631BA4" w:rsidR="009A6CAE" w:rsidRPr="002E20A3" w:rsidRDefault="009A6CAE" w:rsidP="009A6CAE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 xml:space="preserve">Key Responsibilities: </w:t>
            </w:r>
          </w:p>
        </w:tc>
        <w:tc>
          <w:tcPr>
            <w:tcW w:w="7092" w:type="dxa"/>
            <w:vAlign w:val="bottom"/>
          </w:tcPr>
          <w:p w14:paraId="2641C7E3" w14:textId="77777777" w:rsidR="009A6CAE" w:rsidRPr="002E20A3" w:rsidRDefault="009A6CAE" w:rsidP="009A6CA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E20A3">
              <w:rPr>
                <w:rFonts w:ascii="Century Gothic" w:hAnsi="Century Gothic"/>
                <w:b/>
                <w:sz w:val="20"/>
                <w:szCs w:val="20"/>
              </w:rPr>
              <w:t>Value created through Supply Chain (cost)</w:t>
            </w:r>
          </w:p>
          <w:p w14:paraId="449E20E9" w14:textId="5B163761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Implementation of Service Level Agreements </w:t>
            </w:r>
            <w:r w:rsidR="009F1F1A">
              <w:rPr>
                <w:rFonts w:ascii="Century Gothic" w:hAnsi="Century Gothic"/>
                <w:sz w:val="20"/>
                <w:szCs w:val="20"/>
              </w:rPr>
              <w:t xml:space="preserve">(SLAs) </w:t>
            </w:r>
            <w:r w:rsidRPr="002E20A3">
              <w:rPr>
                <w:rFonts w:ascii="Century Gothic" w:hAnsi="Century Gothic"/>
                <w:sz w:val="20"/>
                <w:szCs w:val="20"/>
              </w:rPr>
              <w:t>with key suppliers and regional distributors.</w:t>
            </w:r>
          </w:p>
          <w:p w14:paraId="0161757F" w14:textId="57554FBF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Negotiating key contracts, </w:t>
            </w:r>
            <w:r w:rsidR="009F1F1A" w:rsidRPr="009F1F1A">
              <w:rPr>
                <w:rFonts w:ascii="Century Gothic" w:hAnsi="Century Gothic"/>
                <w:sz w:val="20"/>
                <w:szCs w:val="20"/>
              </w:rPr>
              <w:t>supported by Procurement, to reduce costs and achieve maximum operational efficiency.</w:t>
            </w:r>
          </w:p>
          <w:p w14:paraId="12E53D5D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Driving 3rd party warehouse and logistic optimisation to include cost reduction measures.</w:t>
            </w:r>
          </w:p>
          <w:p w14:paraId="7F6FE369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Provide advice and guidance to </w:t>
            </w:r>
            <w:proofErr w:type="gramStart"/>
            <w:r w:rsidRPr="002E20A3">
              <w:rPr>
                <w:rFonts w:ascii="Century Gothic" w:hAnsi="Century Gothic"/>
                <w:sz w:val="20"/>
                <w:szCs w:val="20"/>
              </w:rPr>
              <w:t>a number of</w:t>
            </w:r>
            <w:proofErr w:type="gramEnd"/>
            <w:r w:rsidRPr="002E20A3">
              <w:rPr>
                <w:rFonts w:ascii="Century Gothic" w:hAnsi="Century Gothic"/>
                <w:sz w:val="20"/>
                <w:szCs w:val="20"/>
              </w:rPr>
              <w:t xml:space="preserve"> internal and external stakeholders, in order to coordinate effects between: Manufacturing, Warehousing, Logistics, Quality/Regulatory, Marketing, Sales and Finance etc.</w:t>
            </w:r>
          </w:p>
          <w:p w14:paraId="02743B8E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Coordinate all packaging purchases and ensure no outages. </w:t>
            </w:r>
          </w:p>
          <w:p w14:paraId="401D70F5" w14:textId="5369635B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Manage label reviews to deliver consistent and high-quality product labelling. </w:t>
            </w:r>
          </w:p>
          <w:p w14:paraId="7778C861" w14:textId="2F4ECF80" w:rsidR="009A6CAE" w:rsidRPr="002E20A3" w:rsidRDefault="009A6CAE" w:rsidP="009A6CA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E20A3">
              <w:rPr>
                <w:rFonts w:ascii="Century Gothic" w:hAnsi="Century Gothic"/>
                <w:b/>
                <w:sz w:val="20"/>
                <w:szCs w:val="20"/>
              </w:rPr>
              <w:t>Productivity</w:t>
            </w:r>
          </w:p>
          <w:p w14:paraId="6FAC18DD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Coordinate, track and manage imports to ensure no outages of key raw materials.</w:t>
            </w:r>
          </w:p>
          <w:p w14:paraId="3842B838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Coordinate all movements from and to all production facilities.</w:t>
            </w:r>
          </w:p>
          <w:p w14:paraId="72A1FF67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Management of the replenishment process line with the Global S&amp;OP process for ABV, ensuring that data is accurately captured, challenged and reported </w:t>
            </w:r>
            <w:proofErr w:type="gramStart"/>
            <w:r w:rsidRPr="002E20A3">
              <w:rPr>
                <w:rFonts w:ascii="Century Gothic" w:hAnsi="Century Gothic"/>
                <w:sz w:val="20"/>
                <w:szCs w:val="20"/>
              </w:rPr>
              <w:t>on a monthly basis</w:t>
            </w:r>
            <w:proofErr w:type="gramEnd"/>
            <w:r w:rsidRPr="002E20A3">
              <w:rPr>
                <w:rFonts w:ascii="Century Gothic" w:hAnsi="Century Gothic"/>
                <w:sz w:val="20"/>
                <w:szCs w:val="20"/>
              </w:rPr>
              <w:t xml:space="preserve"> into the Global Planning team monthly.</w:t>
            </w:r>
          </w:p>
          <w:p w14:paraId="4BD00210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Ensuring the correct availability and fill rate is achieved with the optimal inventory turns.</w:t>
            </w:r>
          </w:p>
          <w:p w14:paraId="46CFE49E" w14:textId="77777777" w:rsidR="009A6CAE" w:rsidRPr="002E20A3" w:rsidRDefault="009A6CAE" w:rsidP="009A6CA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E20A3">
              <w:rPr>
                <w:rFonts w:ascii="Century Gothic" w:hAnsi="Century Gothic"/>
                <w:b/>
                <w:sz w:val="20"/>
                <w:szCs w:val="20"/>
              </w:rPr>
              <w:t xml:space="preserve">Performance </w:t>
            </w:r>
          </w:p>
          <w:p w14:paraId="308267AD" w14:textId="67ECD5A0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Review current systems and practices; </w:t>
            </w:r>
            <w:r w:rsidR="00F70CF4">
              <w:rPr>
                <w:rFonts w:ascii="Century Gothic" w:hAnsi="Century Gothic"/>
                <w:sz w:val="20"/>
                <w:szCs w:val="20"/>
              </w:rPr>
              <w:t xml:space="preserve">provide </w:t>
            </w:r>
            <w:r w:rsidRPr="002E20A3">
              <w:rPr>
                <w:rFonts w:ascii="Century Gothic" w:hAnsi="Century Gothic"/>
                <w:sz w:val="20"/>
                <w:szCs w:val="20"/>
              </w:rPr>
              <w:t>key recommendations for improved processes for order and supplier management, supporting financial management goals.</w:t>
            </w:r>
          </w:p>
          <w:p w14:paraId="2FD3C929" w14:textId="200430E8" w:rsidR="00F70CF4" w:rsidRDefault="00F70CF4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70CF4">
              <w:rPr>
                <w:rFonts w:ascii="Century Gothic" w:hAnsi="Century Gothic"/>
                <w:sz w:val="20"/>
                <w:szCs w:val="20"/>
              </w:rPr>
              <w:t xml:space="preserve">Identify continuous improvement opportunities, report and track progress </w:t>
            </w:r>
            <w:proofErr w:type="gramStart"/>
            <w:r w:rsidRPr="00F70CF4">
              <w:rPr>
                <w:rFonts w:ascii="Century Gothic" w:hAnsi="Century Gothic"/>
                <w:sz w:val="20"/>
                <w:szCs w:val="20"/>
              </w:rPr>
              <w:t>on a monthly basis</w:t>
            </w:r>
            <w:proofErr w:type="gramEnd"/>
          </w:p>
          <w:p w14:paraId="6EB5E29E" w14:textId="648F4C40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Responsible for identifying and implementing a core set of KPI measures in line with the operations reporting pack and deliver these to stakeholders</w:t>
            </w:r>
          </w:p>
          <w:p w14:paraId="52C3AD73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Monitoring data management to keep accurate product, contract, pricing and invoicing information.</w:t>
            </w:r>
          </w:p>
          <w:p w14:paraId="73D65AAF" w14:textId="77777777" w:rsidR="009A6CAE" w:rsidRPr="002E20A3" w:rsidRDefault="009A6CAE" w:rsidP="009A6CA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E20A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Global Supply Chain </w:t>
            </w:r>
          </w:p>
          <w:p w14:paraId="0161EEA1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Responsible for daily Microsoft D365 transactions.</w:t>
            </w:r>
          </w:p>
          <w:p w14:paraId="250C3E21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Microsoft D365 Super User for the America’s for Supply Chain/Customer Service. </w:t>
            </w:r>
          </w:p>
          <w:p w14:paraId="61B82ED6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Matching of relevant supplier invoices against purchase orders.</w:t>
            </w:r>
          </w:p>
          <w:p w14:paraId="71E9AB95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Provide support and cover to Americas Head of Supply Chain and or Production Manager, throughout the year.</w:t>
            </w:r>
          </w:p>
          <w:p w14:paraId="50704CC2" w14:textId="7D7B2635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Attend/Lead Regional Ops meetings</w:t>
            </w:r>
          </w:p>
        </w:tc>
      </w:tr>
      <w:tr w:rsidR="00AA0705" w:rsidRPr="002E20A3" w14:paraId="4F624AE0" w14:textId="77777777" w:rsidTr="00077587">
        <w:tc>
          <w:tcPr>
            <w:tcW w:w="2548" w:type="dxa"/>
          </w:tcPr>
          <w:p w14:paraId="5F5F8A04" w14:textId="69B887C3" w:rsidR="00AA0705" w:rsidRPr="002E20A3" w:rsidRDefault="00AA0705" w:rsidP="00AA0705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2E20A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4BCA797E" w14:textId="77777777" w:rsidR="009A6CAE" w:rsidRPr="002E20A3" w:rsidRDefault="009A6CAE" w:rsidP="009A6CAE">
            <w:pPr>
              <w:pStyle w:val="ListParagraph"/>
              <w:numPr>
                <w:ilvl w:val="0"/>
                <w:numId w:val="36"/>
              </w:numPr>
              <w:spacing w:before="40" w:after="4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 xml:space="preserve">Control and optimization of stock </w:t>
            </w:r>
          </w:p>
          <w:p w14:paraId="6F3E9836" w14:textId="31A3BA94" w:rsidR="00AA0705" w:rsidRPr="002E20A3" w:rsidRDefault="009A6CAE" w:rsidP="009A6CAE">
            <w:pPr>
              <w:pStyle w:val="ListParagraph"/>
              <w:numPr>
                <w:ilvl w:val="0"/>
                <w:numId w:val="36"/>
              </w:numPr>
              <w:spacing w:before="40" w:after="4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2E20A3">
              <w:rPr>
                <w:rFonts w:ascii="Century Gothic" w:hAnsi="Century Gothic"/>
                <w:sz w:val="20"/>
                <w:szCs w:val="20"/>
              </w:rPr>
              <w:t>Cost control of service providers within the supply chain regarding packaging and supplies</w:t>
            </w:r>
          </w:p>
        </w:tc>
      </w:tr>
    </w:tbl>
    <w:p w14:paraId="19D3F98E" w14:textId="2BBC0A79" w:rsidR="00CF55AB" w:rsidRPr="002E20A3" w:rsidRDefault="00CF55AB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2E20A3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2E20A3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/>
                <w:bCs/>
              </w:rPr>
              <w:t xml:space="preserve">Person Profile/Knowledge </w:t>
            </w:r>
          </w:p>
          <w:p w14:paraId="70764BCB" w14:textId="77777777" w:rsidR="00A12E4B" w:rsidRPr="002E20A3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Cs/>
              </w:rPr>
              <w:t>Experience, any formal qualifications and necessary keys areas of knowledge or experience.</w:t>
            </w:r>
          </w:p>
        </w:tc>
      </w:tr>
      <w:tr w:rsidR="00A12E4B" w:rsidRPr="002E20A3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2E20A3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2E20A3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/>
                <w:bCs/>
              </w:rPr>
              <w:t>Desirable</w:t>
            </w:r>
          </w:p>
        </w:tc>
      </w:tr>
      <w:tr w:rsidR="009A6CAE" w:rsidRPr="002E20A3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7C26A0B5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University degree preferably in Business Management, Purchasing and/or Supply Chain Management or </w:t>
            </w:r>
            <w:r w:rsidR="00FE1C77">
              <w:rPr>
                <w:rFonts w:ascii="Century Gothic" w:hAnsi="Century Gothic"/>
              </w:rPr>
              <w:t xml:space="preserve">demonstratable </w:t>
            </w:r>
            <w:r w:rsidRPr="002E20A3">
              <w:rPr>
                <w:rFonts w:ascii="Century Gothic" w:hAnsi="Century Gothic"/>
              </w:rPr>
              <w:t>equivalent experience.</w:t>
            </w:r>
          </w:p>
        </w:tc>
        <w:tc>
          <w:tcPr>
            <w:tcW w:w="4820" w:type="dxa"/>
            <w:shd w:val="clear" w:color="auto" w:fill="auto"/>
          </w:tcPr>
          <w:p w14:paraId="7A20300B" w14:textId="3A776274" w:rsidR="009A6CAE" w:rsidRPr="002E20A3" w:rsidRDefault="009A6CAE" w:rsidP="009A6CAE">
            <w:pPr>
              <w:tabs>
                <w:tab w:val="left" w:pos="1840"/>
              </w:tabs>
              <w:spacing w:before="40" w:after="40"/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Able to problem-solve independently</w:t>
            </w:r>
          </w:p>
        </w:tc>
      </w:tr>
      <w:tr w:rsidR="009A6CAE" w:rsidRPr="002E20A3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440C308D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Have a detailed understanding of ERP systems (Preferably Microsoft Dynamics)</w:t>
            </w:r>
          </w:p>
        </w:tc>
        <w:tc>
          <w:tcPr>
            <w:tcW w:w="4820" w:type="dxa"/>
            <w:shd w:val="clear" w:color="auto" w:fill="auto"/>
          </w:tcPr>
          <w:p w14:paraId="786BB9A8" w14:textId="3220F629" w:rsidR="009A6CAE" w:rsidRP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Analytical skills</w:t>
            </w:r>
          </w:p>
        </w:tc>
      </w:tr>
      <w:tr w:rsidR="009A6CAE" w:rsidRPr="002E20A3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2768924F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Experience in Project Management</w:t>
            </w:r>
          </w:p>
        </w:tc>
        <w:tc>
          <w:tcPr>
            <w:tcW w:w="4820" w:type="dxa"/>
            <w:shd w:val="clear" w:color="auto" w:fill="auto"/>
          </w:tcPr>
          <w:p w14:paraId="43A8DC32" w14:textId="6140E948" w:rsidR="009A6CAE" w:rsidRPr="002E20A3" w:rsidRDefault="009A6CAE" w:rsidP="009A6CAE">
            <w:pPr>
              <w:rPr>
                <w:rFonts w:ascii="Century Gothic" w:eastAsia="Calibri" w:hAnsi="Century Gothic"/>
              </w:rPr>
            </w:pPr>
            <w:r w:rsidRPr="002E20A3">
              <w:rPr>
                <w:rFonts w:ascii="Century Gothic" w:hAnsi="Century Gothic"/>
              </w:rPr>
              <w:t xml:space="preserve">Experience of strategic planning and transportation of products from Global Suppliers. </w:t>
            </w:r>
          </w:p>
        </w:tc>
      </w:tr>
      <w:tr w:rsidR="009A6CAE" w:rsidRPr="002E20A3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40E71CC0" w:rsidR="009A6CAE" w:rsidRP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Relevant IT skills in MS Office with intermediate or advanced Excel skills </w:t>
            </w:r>
          </w:p>
        </w:tc>
        <w:tc>
          <w:tcPr>
            <w:tcW w:w="4820" w:type="dxa"/>
            <w:shd w:val="clear" w:color="auto" w:fill="auto"/>
          </w:tcPr>
          <w:p w14:paraId="08FEA55A" w14:textId="1108DF6C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Strong negotiating skills</w:t>
            </w:r>
          </w:p>
        </w:tc>
      </w:tr>
      <w:tr w:rsidR="009A6CAE" w:rsidRPr="002E20A3" w14:paraId="3842683B" w14:textId="77777777" w:rsidTr="00F87D82">
        <w:tc>
          <w:tcPr>
            <w:tcW w:w="4820" w:type="dxa"/>
            <w:gridSpan w:val="2"/>
            <w:shd w:val="clear" w:color="auto" w:fill="auto"/>
          </w:tcPr>
          <w:p w14:paraId="0F9A9C1B" w14:textId="496172A1" w:rsidR="009A6CAE" w:rsidRP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Implementing process improvements</w:t>
            </w:r>
          </w:p>
        </w:tc>
        <w:tc>
          <w:tcPr>
            <w:tcW w:w="4820" w:type="dxa"/>
            <w:shd w:val="clear" w:color="auto" w:fill="auto"/>
          </w:tcPr>
          <w:p w14:paraId="396379BF" w14:textId="1C6FFF90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Project based logistics</w:t>
            </w:r>
          </w:p>
        </w:tc>
      </w:tr>
      <w:tr w:rsidR="009A6CAE" w:rsidRPr="002E20A3" w14:paraId="12536BBF" w14:textId="77777777" w:rsidTr="00F87D82">
        <w:tc>
          <w:tcPr>
            <w:tcW w:w="4820" w:type="dxa"/>
            <w:gridSpan w:val="2"/>
            <w:shd w:val="clear" w:color="auto" w:fill="auto"/>
          </w:tcPr>
          <w:p w14:paraId="0768E06A" w14:textId="3029A9BD" w:rsidR="009A6CAE" w:rsidRP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Supplier relationship management</w:t>
            </w:r>
          </w:p>
        </w:tc>
        <w:tc>
          <w:tcPr>
            <w:tcW w:w="4820" w:type="dxa"/>
            <w:shd w:val="clear" w:color="auto" w:fill="auto"/>
          </w:tcPr>
          <w:p w14:paraId="5D75FC0D" w14:textId="6895BD7E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9A6CAE" w:rsidRPr="002E20A3" w14:paraId="19EE2AF4" w14:textId="77777777" w:rsidTr="00077587">
        <w:tc>
          <w:tcPr>
            <w:tcW w:w="2320" w:type="dxa"/>
          </w:tcPr>
          <w:p w14:paraId="3E08EDAB" w14:textId="13B7018D" w:rsidR="009A6CAE" w:rsidRPr="002E20A3" w:rsidRDefault="009A6CAE" w:rsidP="009A6CAE">
            <w:pPr>
              <w:spacing w:before="40" w:after="40"/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/>
                <w:bCs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36B610B5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Highly effective motivator with strong and written communication skills (English)</w:t>
            </w:r>
          </w:p>
          <w:p w14:paraId="01ABCED8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Well organised person who is confident with business administration skills.</w:t>
            </w:r>
          </w:p>
          <w:p w14:paraId="372AD4D7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Looks for procedural excellence, tactics and the ability to quickly gain credibility and trust.  </w:t>
            </w:r>
          </w:p>
          <w:p w14:paraId="01340192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Proven ability to motivate and influence others with integrity, drive change/results &amp; accomplish goals through a collaborative effort.</w:t>
            </w:r>
          </w:p>
          <w:p w14:paraId="432CF0C4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Ability to handle pressures arising from tight deadlines and targets.</w:t>
            </w:r>
          </w:p>
          <w:p w14:paraId="2E1D67EC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Able to evaluate complex situations and find solutions for them.</w:t>
            </w:r>
          </w:p>
          <w:p w14:paraId="39288A13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An ambitious individual with flexibility and drive.</w:t>
            </w:r>
          </w:p>
          <w:p w14:paraId="6345BD5D" w14:textId="77777777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Attention to detail. </w:t>
            </w:r>
          </w:p>
          <w:p w14:paraId="057E770D" w14:textId="0B11CFF9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Passionate about delivering excellent customer service in the most cost-effective way.</w:t>
            </w:r>
          </w:p>
          <w:p w14:paraId="5FA9CE2A" w14:textId="7D4C9808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Ability </w:t>
            </w:r>
            <w:r w:rsidR="002E20A3">
              <w:rPr>
                <w:rFonts w:ascii="Century Gothic" w:hAnsi="Century Gothic"/>
              </w:rPr>
              <w:t xml:space="preserve">to </w:t>
            </w:r>
            <w:r w:rsidRPr="002E20A3">
              <w:rPr>
                <w:rFonts w:ascii="Century Gothic" w:hAnsi="Century Gothic"/>
              </w:rPr>
              <w:t>influence a variety of people in senior roles.</w:t>
            </w:r>
          </w:p>
          <w:p w14:paraId="01E06E25" w14:textId="37FB08BC" w:rsidR="009A6CAE" w:rsidRPr="002E20A3" w:rsidRDefault="009A6CAE" w:rsidP="009A6CA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Must be willing to learn, improve and adapt.</w:t>
            </w:r>
          </w:p>
        </w:tc>
      </w:tr>
      <w:tr w:rsidR="009A6CAE" w:rsidRPr="002E20A3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9A6CAE" w:rsidRPr="002E20A3" w:rsidRDefault="009A6CAE" w:rsidP="009A6CAE">
            <w:pPr>
              <w:spacing w:before="40" w:after="40"/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/>
                <w:bCs/>
              </w:rPr>
              <w:t>Other Factors</w:t>
            </w:r>
          </w:p>
          <w:p w14:paraId="56ADABEE" w14:textId="3F42CA93" w:rsidR="009A6CAE" w:rsidRPr="002E20A3" w:rsidRDefault="009A6CAE" w:rsidP="009A6CAE">
            <w:pPr>
              <w:spacing w:before="40" w:after="40"/>
              <w:rPr>
                <w:rFonts w:ascii="Century Gothic" w:hAnsi="Century Gothic"/>
                <w:b/>
                <w:bCs/>
              </w:rPr>
            </w:pPr>
            <w:r w:rsidRPr="002E20A3">
              <w:rPr>
                <w:rFonts w:ascii="Century Gothic" w:hAnsi="Century Gothic"/>
                <w:bCs/>
              </w:rPr>
              <w:t>Travel, shift pattern, working hours, Licence type etc.</w:t>
            </w:r>
          </w:p>
        </w:tc>
        <w:tc>
          <w:tcPr>
            <w:tcW w:w="7320" w:type="dxa"/>
            <w:gridSpan w:val="2"/>
          </w:tcPr>
          <w:p w14:paraId="72F9F774" w14:textId="77777777" w:rsidR="009A6CAE" w:rsidRP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Involves occasional unusual hours.  </w:t>
            </w:r>
          </w:p>
          <w:p w14:paraId="56428568" w14:textId="77777777" w:rsid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>Frequent travel (25%) to suppliers and global offices required</w:t>
            </w:r>
          </w:p>
          <w:p w14:paraId="7A970AE8" w14:textId="4DFF4D3A" w:rsidR="009A6CAE" w:rsidRPr="002E20A3" w:rsidRDefault="009A6CAE" w:rsidP="009A6CAE">
            <w:pPr>
              <w:rPr>
                <w:rFonts w:ascii="Century Gothic" w:hAnsi="Century Gothic"/>
              </w:rPr>
            </w:pPr>
            <w:r w:rsidRPr="002E20A3">
              <w:rPr>
                <w:rFonts w:ascii="Century Gothic" w:hAnsi="Century Gothic"/>
              </w:rPr>
              <w:t xml:space="preserve"> </w:t>
            </w:r>
          </w:p>
          <w:p w14:paraId="5FA9A984" w14:textId="70BB7621" w:rsidR="009A6CAE" w:rsidRPr="002E20A3" w:rsidRDefault="009A6CAE" w:rsidP="009A6CAE">
            <w:pPr>
              <w:spacing w:before="40" w:after="40"/>
              <w:rPr>
                <w:rFonts w:ascii="Century Gothic" w:hAnsi="Century Gothic"/>
              </w:rPr>
            </w:pPr>
          </w:p>
        </w:tc>
      </w:tr>
    </w:tbl>
    <w:p w14:paraId="68B18CFE" w14:textId="77777777" w:rsidR="00E92205" w:rsidRPr="002E20A3" w:rsidRDefault="00E92205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sectPr w:rsidR="00E92205" w:rsidRPr="002E20A3" w:rsidSect="00274EF4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416A" w14:textId="77777777" w:rsidR="00B0750B" w:rsidRDefault="00B0750B" w:rsidP="0020039E">
      <w:pPr>
        <w:spacing w:after="0" w:line="240" w:lineRule="auto"/>
      </w:pPr>
      <w:r>
        <w:separator/>
      </w:r>
    </w:p>
  </w:endnote>
  <w:endnote w:type="continuationSeparator" w:id="0">
    <w:p w14:paraId="617CD50F" w14:textId="77777777" w:rsidR="00B0750B" w:rsidRDefault="00B0750B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57BE" w14:textId="2E440AE0" w:rsidR="002E20A3" w:rsidRDefault="002E20A3">
    <w:pPr>
      <w:pStyle w:val="Footer"/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0361F085" wp14:editId="7FF44E3F">
          <wp:extent cx="5731510" cy="762000"/>
          <wp:effectExtent l="0" t="0" r="2540" b="0"/>
          <wp:docPr id="1878428966" name="Picture 1878428966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4DA753B6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67C6" w14:textId="77777777" w:rsidR="00B0750B" w:rsidRDefault="00B0750B" w:rsidP="0020039E">
      <w:pPr>
        <w:spacing w:after="0" w:line="240" w:lineRule="auto"/>
      </w:pPr>
      <w:r>
        <w:separator/>
      </w:r>
    </w:p>
  </w:footnote>
  <w:footnote w:type="continuationSeparator" w:id="0">
    <w:p w14:paraId="42CADE72" w14:textId="77777777" w:rsidR="00B0750B" w:rsidRDefault="00B0750B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B9C"/>
    <w:multiLevelType w:val="hybridMultilevel"/>
    <w:tmpl w:val="03B6D9CC"/>
    <w:lvl w:ilvl="0" w:tplc="98CA092E">
      <w:numFmt w:val="bullet"/>
      <w:lvlText w:val="•"/>
      <w:lvlJc w:val="left"/>
      <w:pPr>
        <w:ind w:left="360" w:hanging="360"/>
      </w:pPr>
      <w:rPr>
        <w:rFonts w:ascii="Avenir Next LT Pro" w:eastAsiaTheme="minorHAnsi" w:hAnsi="Avenir Next LT Pro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10C"/>
    <w:multiLevelType w:val="hybridMultilevel"/>
    <w:tmpl w:val="AD24F03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6DBF"/>
    <w:multiLevelType w:val="hybridMultilevel"/>
    <w:tmpl w:val="52AE5392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659D8"/>
    <w:multiLevelType w:val="hybridMultilevel"/>
    <w:tmpl w:val="FC3AFD7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66C4"/>
    <w:multiLevelType w:val="hybridMultilevel"/>
    <w:tmpl w:val="80D4B8AC"/>
    <w:lvl w:ilvl="0" w:tplc="98CA092E">
      <w:numFmt w:val="bullet"/>
      <w:lvlText w:val="•"/>
      <w:lvlJc w:val="left"/>
      <w:pPr>
        <w:ind w:left="360" w:hanging="360"/>
      </w:pPr>
      <w:rPr>
        <w:rFonts w:ascii="Avenir Next LT Pro" w:eastAsiaTheme="minorHAnsi" w:hAnsi="Avenir Next LT Pro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75F36"/>
    <w:multiLevelType w:val="hybridMultilevel"/>
    <w:tmpl w:val="EAF425C2"/>
    <w:lvl w:ilvl="0" w:tplc="98CA092E">
      <w:numFmt w:val="bullet"/>
      <w:lvlText w:val="•"/>
      <w:lvlJc w:val="left"/>
      <w:pPr>
        <w:ind w:left="360" w:hanging="360"/>
      </w:pPr>
      <w:rPr>
        <w:rFonts w:ascii="Avenir Next LT Pro" w:eastAsiaTheme="minorHAnsi" w:hAnsi="Avenir Next LT Pro" w:cstheme="minorBidi" w:hint="default"/>
      </w:rPr>
    </w:lvl>
    <w:lvl w:ilvl="1" w:tplc="B6D8F8D0">
      <w:numFmt w:val="bullet"/>
      <w:lvlText w:val="-"/>
      <w:lvlJc w:val="left"/>
      <w:pPr>
        <w:ind w:left="1440" w:hanging="360"/>
      </w:pPr>
      <w:rPr>
        <w:rFonts w:ascii="Avenir Next LT Pro" w:eastAsiaTheme="minorHAnsi" w:hAnsi="Avenir Next LT Pro" w:cstheme="minorBid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6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C74F1"/>
    <w:multiLevelType w:val="hybridMultilevel"/>
    <w:tmpl w:val="137E3F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35893953">
    <w:abstractNumId w:val="22"/>
  </w:num>
  <w:num w:numId="2" w16cid:durableId="217741281">
    <w:abstractNumId w:val="32"/>
  </w:num>
  <w:num w:numId="3" w16cid:durableId="1304697100">
    <w:abstractNumId w:val="7"/>
  </w:num>
  <w:num w:numId="4" w16cid:durableId="1072120303">
    <w:abstractNumId w:val="14"/>
  </w:num>
  <w:num w:numId="5" w16cid:durableId="510608127">
    <w:abstractNumId w:val="28"/>
  </w:num>
  <w:num w:numId="6" w16cid:durableId="2001545710">
    <w:abstractNumId w:val="8"/>
  </w:num>
  <w:num w:numId="7" w16cid:durableId="818768983">
    <w:abstractNumId w:val="26"/>
  </w:num>
  <w:num w:numId="8" w16cid:durableId="1589658200">
    <w:abstractNumId w:val="23"/>
  </w:num>
  <w:num w:numId="9" w16cid:durableId="837963855">
    <w:abstractNumId w:val="9"/>
  </w:num>
  <w:num w:numId="10" w16cid:durableId="1052115794">
    <w:abstractNumId w:val="17"/>
  </w:num>
  <w:num w:numId="11" w16cid:durableId="1374188681">
    <w:abstractNumId w:val="29"/>
  </w:num>
  <w:num w:numId="12" w16cid:durableId="1479034479">
    <w:abstractNumId w:val="18"/>
  </w:num>
  <w:num w:numId="13" w16cid:durableId="1840853363">
    <w:abstractNumId w:val="19"/>
  </w:num>
  <w:num w:numId="14" w16cid:durableId="1906910408">
    <w:abstractNumId w:val="1"/>
  </w:num>
  <w:num w:numId="15" w16cid:durableId="1735158001">
    <w:abstractNumId w:val="10"/>
  </w:num>
  <w:num w:numId="16" w16cid:durableId="311568978">
    <w:abstractNumId w:val="6"/>
  </w:num>
  <w:num w:numId="17" w16cid:durableId="7453435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493904">
    <w:abstractNumId w:val="20"/>
  </w:num>
  <w:num w:numId="19" w16cid:durableId="835343607">
    <w:abstractNumId w:val="5"/>
  </w:num>
  <w:num w:numId="20" w16cid:durableId="64265810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884693">
    <w:abstractNumId w:val="31"/>
  </w:num>
  <w:num w:numId="22" w16cid:durableId="2016764992">
    <w:abstractNumId w:val="33"/>
  </w:num>
  <w:num w:numId="23" w16cid:durableId="1950045564">
    <w:abstractNumId w:val="0"/>
  </w:num>
  <w:num w:numId="24" w16cid:durableId="1178227580">
    <w:abstractNumId w:val="27"/>
  </w:num>
  <w:num w:numId="25" w16cid:durableId="448427778">
    <w:abstractNumId w:val="25"/>
  </w:num>
  <w:num w:numId="26" w16cid:durableId="1510950534">
    <w:abstractNumId w:val="34"/>
  </w:num>
  <w:num w:numId="27" w16cid:durableId="1422067295">
    <w:abstractNumId w:val="15"/>
  </w:num>
  <w:num w:numId="28" w16cid:durableId="72165343">
    <w:abstractNumId w:val="21"/>
  </w:num>
  <w:num w:numId="29" w16cid:durableId="786239458">
    <w:abstractNumId w:val="16"/>
  </w:num>
  <w:num w:numId="30" w16cid:durableId="1117338328">
    <w:abstractNumId w:val="4"/>
  </w:num>
  <w:num w:numId="31" w16cid:durableId="1281953170">
    <w:abstractNumId w:val="30"/>
  </w:num>
  <w:num w:numId="32" w16cid:durableId="1007170557">
    <w:abstractNumId w:val="3"/>
  </w:num>
  <w:num w:numId="33" w16cid:durableId="972638634">
    <w:abstractNumId w:val="11"/>
  </w:num>
  <w:num w:numId="34" w16cid:durableId="528489043">
    <w:abstractNumId w:val="12"/>
  </w:num>
  <w:num w:numId="35" w16cid:durableId="1735733402">
    <w:abstractNumId w:val="2"/>
  </w:num>
  <w:num w:numId="36" w16cid:durableId="2004044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27E06"/>
    <w:rsid w:val="00042558"/>
    <w:rsid w:val="00061A0A"/>
    <w:rsid w:val="00077587"/>
    <w:rsid w:val="000A4F13"/>
    <w:rsid w:val="000A6B90"/>
    <w:rsid w:val="000B299D"/>
    <w:rsid w:val="000C30B4"/>
    <w:rsid w:val="000D0D6F"/>
    <w:rsid w:val="000E3C91"/>
    <w:rsid w:val="000F497B"/>
    <w:rsid w:val="000F797F"/>
    <w:rsid w:val="00131EF4"/>
    <w:rsid w:val="00150210"/>
    <w:rsid w:val="00163A3B"/>
    <w:rsid w:val="00175979"/>
    <w:rsid w:val="00177EB4"/>
    <w:rsid w:val="0018361D"/>
    <w:rsid w:val="00184DD9"/>
    <w:rsid w:val="001A25DE"/>
    <w:rsid w:val="001B7B1C"/>
    <w:rsid w:val="0020039E"/>
    <w:rsid w:val="0020713A"/>
    <w:rsid w:val="0023163C"/>
    <w:rsid w:val="00240F4B"/>
    <w:rsid w:val="002645D0"/>
    <w:rsid w:val="00265270"/>
    <w:rsid w:val="0026769E"/>
    <w:rsid w:val="00272C79"/>
    <w:rsid w:val="00274EF4"/>
    <w:rsid w:val="00275D4C"/>
    <w:rsid w:val="00284A02"/>
    <w:rsid w:val="0029231B"/>
    <w:rsid w:val="002A5732"/>
    <w:rsid w:val="002D78C1"/>
    <w:rsid w:val="002E20A3"/>
    <w:rsid w:val="002E4A25"/>
    <w:rsid w:val="002F0AFE"/>
    <w:rsid w:val="00302618"/>
    <w:rsid w:val="00323C65"/>
    <w:rsid w:val="00330827"/>
    <w:rsid w:val="00362DF1"/>
    <w:rsid w:val="00375AAC"/>
    <w:rsid w:val="00387A67"/>
    <w:rsid w:val="003B6AC9"/>
    <w:rsid w:val="003B7128"/>
    <w:rsid w:val="003D016E"/>
    <w:rsid w:val="003D325E"/>
    <w:rsid w:val="003F5364"/>
    <w:rsid w:val="003F65E4"/>
    <w:rsid w:val="003F6D8C"/>
    <w:rsid w:val="0040764A"/>
    <w:rsid w:val="004107AD"/>
    <w:rsid w:val="0042170F"/>
    <w:rsid w:val="0042559A"/>
    <w:rsid w:val="004373E4"/>
    <w:rsid w:val="004848CC"/>
    <w:rsid w:val="004A2AE3"/>
    <w:rsid w:val="004A50AA"/>
    <w:rsid w:val="004D52CF"/>
    <w:rsid w:val="004E7609"/>
    <w:rsid w:val="00501786"/>
    <w:rsid w:val="0050492F"/>
    <w:rsid w:val="00523401"/>
    <w:rsid w:val="00544B5E"/>
    <w:rsid w:val="00546BA9"/>
    <w:rsid w:val="005534E5"/>
    <w:rsid w:val="00554CD7"/>
    <w:rsid w:val="00560FD4"/>
    <w:rsid w:val="005A54AC"/>
    <w:rsid w:val="005D353C"/>
    <w:rsid w:val="005E5258"/>
    <w:rsid w:val="005F4BD9"/>
    <w:rsid w:val="005F75F2"/>
    <w:rsid w:val="00607B1B"/>
    <w:rsid w:val="006173EF"/>
    <w:rsid w:val="00620764"/>
    <w:rsid w:val="00627169"/>
    <w:rsid w:val="00627856"/>
    <w:rsid w:val="006314AC"/>
    <w:rsid w:val="00641315"/>
    <w:rsid w:val="00674724"/>
    <w:rsid w:val="006A27EA"/>
    <w:rsid w:val="006B4175"/>
    <w:rsid w:val="006C3CD1"/>
    <w:rsid w:val="006C5CE6"/>
    <w:rsid w:val="006D14B9"/>
    <w:rsid w:val="006E5721"/>
    <w:rsid w:val="0073137B"/>
    <w:rsid w:val="0073357A"/>
    <w:rsid w:val="00745DBE"/>
    <w:rsid w:val="00791719"/>
    <w:rsid w:val="00795E6B"/>
    <w:rsid w:val="007975AA"/>
    <w:rsid w:val="007A6A97"/>
    <w:rsid w:val="007B3BDE"/>
    <w:rsid w:val="007D2251"/>
    <w:rsid w:val="008105B9"/>
    <w:rsid w:val="008219D7"/>
    <w:rsid w:val="00824371"/>
    <w:rsid w:val="0086375C"/>
    <w:rsid w:val="008639BD"/>
    <w:rsid w:val="008837AB"/>
    <w:rsid w:val="00893582"/>
    <w:rsid w:val="008B01A3"/>
    <w:rsid w:val="008C57B4"/>
    <w:rsid w:val="008F33DF"/>
    <w:rsid w:val="008F66B7"/>
    <w:rsid w:val="008F6D05"/>
    <w:rsid w:val="009019E7"/>
    <w:rsid w:val="00904586"/>
    <w:rsid w:val="009426E6"/>
    <w:rsid w:val="00950BFE"/>
    <w:rsid w:val="00965975"/>
    <w:rsid w:val="00993838"/>
    <w:rsid w:val="009A6CAE"/>
    <w:rsid w:val="009B2799"/>
    <w:rsid w:val="009D4E27"/>
    <w:rsid w:val="009F1F1A"/>
    <w:rsid w:val="009F3689"/>
    <w:rsid w:val="00A12E4B"/>
    <w:rsid w:val="00A13974"/>
    <w:rsid w:val="00A445A9"/>
    <w:rsid w:val="00A60D75"/>
    <w:rsid w:val="00A667B7"/>
    <w:rsid w:val="00A858AA"/>
    <w:rsid w:val="00A97E74"/>
    <w:rsid w:val="00AA0705"/>
    <w:rsid w:val="00AD4085"/>
    <w:rsid w:val="00AF4E88"/>
    <w:rsid w:val="00B0750B"/>
    <w:rsid w:val="00B12695"/>
    <w:rsid w:val="00B30736"/>
    <w:rsid w:val="00B5134C"/>
    <w:rsid w:val="00B51E12"/>
    <w:rsid w:val="00B553D6"/>
    <w:rsid w:val="00B94C5F"/>
    <w:rsid w:val="00B96573"/>
    <w:rsid w:val="00BC3DF1"/>
    <w:rsid w:val="00BD14D7"/>
    <w:rsid w:val="00BD1F78"/>
    <w:rsid w:val="00BD3B33"/>
    <w:rsid w:val="00BD4453"/>
    <w:rsid w:val="00BF5E9F"/>
    <w:rsid w:val="00C14B01"/>
    <w:rsid w:val="00C23F08"/>
    <w:rsid w:val="00C308DF"/>
    <w:rsid w:val="00C4670C"/>
    <w:rsid w:val="00C46C20"/>
    <w:rsid w:val="00C4760C"/>
    <w:rsid w:val="00C837AD"/>
    <w:rsid w:val="00C91CBE"/>
    <w:rsid w:val="00CB0EF0"/>
    <w:rsid w:val="00CD0397"/>
    <w:rsid w:val="00CF55AB"/>
    <w:rsid w:val="00D10605"/>
    <w:rsid w:val="00D1405C"/>
    <w:rsid w:val="00D156DE"/>
    <w:rsid w:val="00D266DC"/>
    <w:rsid w:val="00D27CC1"/>
    <w:rsid w:val="00D42C03"/>
    <w:rsid w:val="00D451E0"/>
    <w:rsid w:val="00D50A43"/>
    <w:rsid w:val="00DF7768"/>
    <w:rsid w:val="00E12102"/>
    <w:rsid w:val="00E16738"/>
    <w:rsid w:val="00E16EFF"/>
    <w:rsid w:val="00E20301"/>
    <w:rsid w:val="00E2658C"/>
    <w:rsid w:val="00E364E8"/>
    <w:rsid w:val="00E41F22"/>
    <w:rsid w:val="00E52861"/>
    <w:rsid w:val="00E6265E"/>
    <w:rsid w:val="00E636CC"/>
    <w:rsid w:val="00E714A7"/>
    <w:rsid w:val="00E90873"/>
    <w:rsid w:val="00E92205"/>
    <w:rsid w:val="00EE224C"/>
    <w:rsid w:val="00EF12CF"/>
    <w:rsid w:val="00F0176F"/>
    <w:rsid w:val="00F260C5"/>
    <w:rsid w:val="00F32DD5"/>
    <w:rsid w:val="00F53C32"/>
    <w:rsid w:val="00F60F58"/>
    <w:rsid w:val="00F62EF9"/>
    <w:rsid w:val="00F70CF4"/>
    <w:rsid w:val="00F80140"/>
    <w:rsid w:val="00F87D82"/>
    <w:rsid w:val="00FD6013"/>
    <w:rsid w:val="00FE1C77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Emma Goodwin</cp:lastModifiedBy>
  <cp:revision>2</cp:revision>
  <cp:lastPrinted>2015-08-11T09:10:00Z</cp:lastPrinted>
  <dcterms:created xsi:type="dcterms:W3CDTF">2025-01-30T13:52:00Z</dcterms:created>
  <dcterms:modified xsi:type="dcterms:W3CDTF">2025-01-30T13:52:00Z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