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F00F" w14:textId="77777777" w:rsidR="00793A25" w:rsidRPr="00C73B6F" w:rsidRDefault="00793A25" w:rsidP="00793A25">
      <w:pPr>
        <w:jc w:val="center"/>
        <w:rPr>
          <w:rFonts w:ascii="Century Gothic" w:hAnsi="Century Gothic"/>
          <w:b/>
          <w:sz w:val="24"/>
          <w:szCs w:val="24"/>
        </w:rPr>
      </w:pPr>
      <w:r w:rsidRPr="00C73B6F">
        <w:rPr>
          <w:rFonts w:ascii="Century Gothic" w:hAnsi="Century Gothic"/>
          <w:b/>
          <w:sz w:val="24"/>
          <w:szCs w:val="24"/>
        </w:rPr>
        <w:t>Role Description &amp; Person Profile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262"/>
      </w:tblGrid>
      <w:tr w:rsidR="00793A25" w:rsidRPr="00512E9D" w14:paraId="265AF013" w14:textId="77777777" w:rsidTr="003D21D6">
        <w:trPr>
          <w:trHeight w:val="265"/>
        </w:trPr>
        <w:tc>
          <w:tcPr>
            <w:tcW w:w="2754" w:type="dxa"/>
            <w:shd w:val="clear" w:color="auto" w:fill="E6E6E6"/>
            <w:vAlign w:val="bottom"/>
          </w:tcPr>
          <w:p w14:paraId="265AF011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 xml:space="preserve">Role </w:t>
            </w:r>
          </w:p>
        </w:tc>
        <w:tc>
          <w:tcPr>
            <w:tcW w:w="6262" w:type="dxa"/>
            <w:shd w:val="clear" w:color="auto" w:fill="E6E6E6"/>
            <w:vAlign w:val="bottom"/>
          </w:tcPr>
          <w:p w14:paraId="265AF012" w14:textId="77777777" w:rsidR="00793A25" w:rsidRPr="00512E9D" w:rsidRDefault="00793A25" w:rsidP="00DE5A7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3A25" w:rsidRPr="00512E9D" w14:paraId="265AF016" w14:textId="77777777" w:rsidTr="003D21D6">
        <w:trPr>
          <w:trHeight w:val="419"/>
        </w:trPr>
        <w:tc>
          <w:tcPr>
            <w:tcW w:w="2754" w:type="dxa"/>
            <w:vAlign w:val="bottom"/>
          </w:tcPr>
          <w:p w14:paraId="265AF014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>Job title</w:t>
            </w:r>
          </w:p>
        </w:tc>
        <w:tc>
          <w:tcPr>
            <w:tcW w:w="6262" w:type="dxa"/>
            <w:vAlign w:val="bottom"/>
          </w:tcPr>
          <w:p w14:paraId="265AF015" w14:textId="6FAF456E" w:rsidR="00793A25" w:rsidRPr="00B64404" w:rsidRDefault="00B628FD" w:rsidP="00793A25">
            <w:pPr>
              <w:rPr>
                <w:rFonts w:ascii="Century Gothic" w:hAnsi="Century Gothic"/>
                <w:sz w:val="20"/>
                <w:szCs w:val="20"/>
              </w:rPr>
            </w:pPr>
            <w:r w:rsidRPr="00A73758">
              <w:rPr>
                <w:rFonts w:ascii="Century Gothic" w:hAnsi="Century Gothic"/>
                <w:sz w:val="20"/>
                <w:szCs w:val="20"/>
              </w:rPr>
              <w:t xml:space="preserve">Information Security </w:t>
            </w:r>
            <w:r w:rsidR="003702B8" w:rsidRPr="00A73758">
              <w:rPr>
                <w:rFonts w:ascii="Century Gothic" w:hAnsi="Century Gothic"/>
                <w:sz w:val="20"/>
                <w:szCs w:val="20"/>
              </w:rPr>
              <w:t xml:space="preserve">Specialist </w:t>
            </w:r>
          </w:p>
        </w:tc>
      </w:tr>
      <w:tr w:rsidR="00793A25" w:rsidRPr="00512E9D" w14:paraId="265AF019" w14:textId="77777777" w:rsidTr="003D21D6">
        <w:trPr>
          <w:trHeight w:val="423"/>
        </w:trPr>
        <w:tc>
          <w:tcPr>
            <w:tcW w:w="2754" w:type="dxa"/>
            <w:vAlign w:val="bottom"/>
          </w:tcPr>
          <w:p w14:paraId="265AF017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>Division</w:t>
            </w:r>
          </w:p>
        </w:tc>
        <w:tc>
          <w:tcPr>
            <w:tcW w:w="6262" w:type="dxa"/>
            <w:vAlign w:val="bottom"/>
          </w:tcPr>
          <w:p w14:paraId="265AF018" w14:textId="747271D2" w:rsidR="00793A25" w:rsidRPr="00B64404" w:rsidRDefault="0073078A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B64404">
              <w:rPr>
                <w:rFonts w:ascii="Century Gothic" w:hAnsi="Century Gothic"/>
                <w:sz w:val="20"/>
                <w:szCs w:val="20"/>
              </w:rPr>
              <w:t>GTS (Group Technology Services)</w:t>
            </w:r>
          </w:p>
        </w:tc>
      </w:tr>
      <w:tr w:rsidR="00793A25" w:rsidRPr="00512E9D" w14:paraId="265AF01C" w14:textId="77777777" w:rsidTr="003D21D6">
        <w:trPr>
          <w:trHeight w:val="427"/>
        </w:trPr>
        <w:tc>
          <w:tcPr>
            <w:tcW w:w="2754" w:type="dxa"/>
            <w:vAlign w:val="bottom"/>
          </w:tcPr>
          <w:p w14:paraId="265AF01A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>Department</w:t>
            </w:r>
          </w:p>
        </w:tc>
        <w:tc>
          <w:tcPr>
            <w:tcW w:w="6262" w:type="dxa"/>
            <w:vAlign w:val="bottom"/>
          </w:tcPr>
          <w:p w14:paraId="265AF01B" w14:textId="38D4CFCF" w:rsidR="00793A25" w:rsidRPr="00B64404" w:rsidRDefault="0073078A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B64404">
              <w:rPr>
                <w:rFonts w:ascii="Century Gothic" w:hAnsi="Century Gothic"/>
                <w:sz w:val="20"/>
                <w:szCs w:val="20"/>
              </w:rPr>
              <w:t xml:space="preserve">IT Risk &amp; Security </w:t>
            </w:r>
          </w:p>
        </w:tc>
      </w:tr>
      <w:tr w:rsidR="00793A25" w:rsidRPr="00512E9D" w14:paraId="265AF01F" w14:textId="77777777" w:rsidTr="003D21D6">
        <w:trPr>
          <w:trHeight w:val="395"/>
        </w:trPr>
        <w:tc>
          <w:tcPr>
            <w:tcW w:w="2754" w:type="dxa"/>
            <w:vAlign w:val="bottom"/>
          </w:tcPr>
          <w:p w14:paraId="265AF01D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>Location</w:t>
            </w:r>
          </w:p>
        </w:tc>
        <w:tc>
          <w:tcPr>
            <w:tcW w:w="6262" w:type="dxa"/>
            <w:vAlign w:val="bottom"/>
          </w:tcPr>
          <w:p w14:paraId="265AF01E" w14:textId="68CA6171" w:rsidR="00793A25" w:rsidRPr="00B64404" w:rsidRDefault="0073078A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B64404">
              <w:rPr>
                <w:rFonts w:ascii="Century Gothic" w:hAnsi="Century Gothic"/>
                <w:sz w:val="20"/>
                <w:szCs w:val="20"/>
              </w:rPr>
              <w:t xml:space="preserve">Hybrid </w:t>
            </w:r>
            <w:r w:rsidR="005E4536" w:rsidRPr="00B64404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B64404">
              <w:rPr>
                <w:rFonts w:ascii="Century Gothic" w:hAnsi="Century Gothic"/>
                <w:sz w:val="20"/>
                <w:szCs w:val="20"/>
              </w:rPr>
              <w:t xml:space="preserve">Peterborough and Remote </w:t>
            </w:r>
          </w:p>
        </w:tc>
      </w:tr>
      <w:tr w:rsidR="00793A25" w:rsidRPr="00512E9D" w14:paraId="265AF024" w14:textId="77777777" w:rsidTr="003D21D6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020" w14:textId="77777777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B64404">
              <w:rPr>
                <w:rFonts w:ascii="Century Gothic" w:hAnsi="Century Gothic"/>
                <w:b/>
                <w:bCs/>
              </w:rPr>
              <w:t xml:space="preserve">Team Structure </w:t>
            </w:r>
          </w:p>
          <w:p w14:paraId="265AF022" w14:textId="0FEBBFBE" w:rsidR="00793A25" w:rsidRPr="00B64404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C50190">
              <w:rPr>
                <w:rFonts w:ascii="Century Gothic" w:hAnsi="Century Gothic"/>
                <w:bCs/>
                <w:sz w:val="16"/>
                <w:szCs w:val="16"/>
              </w:rPr>
              <w:t>Reports to, direct reports, etc</w:t>
            </w:r>
            <w:r w:rsidRPr="00C50190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023" w14:textId="711D58E2" w:rsidR="00793A25" w:rsidRPr="00B64404" w:rsidRDefault="00463851" w:rsidP="00EA2DC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4404">
              <w:rPr>
                <w:rFonts w:ascii="Century Gothic" w:hAnsi="Century Gothic"/>
                <w:sz w:val="20"/>
                <w:szCs w:val="20"/>
              </w:rPr>
              <w:t>Information Security Manager</w:t>
            </w:r>
            <w:r w:rsidR="00533CFF" w:rsidRPr="00B6440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265AF025" w14:textId="77777777" w:rsidR="00793A25" w:rsidRPr="00512E9D" w:rsidRDefault="00793A25" w:rsidP="00793A25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186"/>
      </w:tblGrid>
      <w:tr w:rsidR="00C75AB1" w:rsidRPr="00512E9D" w14:paraId="265AF028" w14:textId="77777777" w:rsidTr="00827CCA">
        <w:tc>
          <w:tcPr>
            <w:tcW w:w="2830" w:type="dxa"/>
            <w:shd w:val="clear" w:color="auto" w:fill="E6E6E6"/>
            <w:vAlign w:val="bottom"/>
          </w:tcPr>
          <w:p w14:paraId="265AF026" w14:textId="3CD8874B" w:rsidR="00C75AB1" w:rsidRPr="00512E9D" w:rsidRDefault="00C75AB1" w:rsidP="00C75AB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4AE5">
              <w:rPr>
                <w:rFonts w:ascii="Century Gothic" w:hAnsi="Century Gothic"/>
                <w:b/>
                <w:bCs/>
              </w:rPr>
              <w:t>Description</w:t>
            </w:r>
          </w:p>
        </w:tc>
        <w:tc>
          <w:tcPr>
            <w:tcW w:w="6186" w:type="dxa"/>
            <w:shd w:val="clear" w:color="auto" w:fill="E6E6E6"/>
            <w:vAlign w:val="bottom"/>
          </w:tcPr>
          <w:p w14:paraId="265AF027" w14:textId="77777777" w:rsidR="00C75AB1" w:rsidRPr="00512E9D" w:rsidRDefault="00C75AB1" w:rsidP="00C75AB1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C75AB1" w:rsidRPr="00512E9D" w14:paraId="265AF033" w14:textId="77777777" w:rsidTr="00827CCA">
        <w:tc>
          <w:tcPr>
            <w:tcW w:w="2830" w:type="dxa"/>
          </w:tcPr>
          <w:p w14:paraId="59CB0C34" w14:textId="77777777" w:rsidR="00C75AB1" w:rsidRPr="00124AE5" w:rsidRDefault="00C75AB1" w:rsidP="00C75AB1">
            <w:pPr>
              <w:rPr>
                <w:rFonts w:ascii="Century Gothic" w:hAnsi="Century Gothic"/>
                <w:b/>
                <w:bCs/>
              </w:rPr>
            </w:pPr>
            <w:r w:rsidRPr="00124AE5">
              <w:rPr>
                <w:rFonts w:ascii="Century Gothic" w:hAnsi="Century Gothic"/>
                <w:b/>
                <w:bCs/>
              </w:rPr>
              <w:t xml:space="preserve">Impact Statement </w:t>
            </w:r>
          </w:p>
          <w:p w14:paraId="5DA01D6D" w14:textId="77777777" w:rsidR="00C75AB1" w:rsidRPr="00124AE5" w:rsidRDefault="00C75AB1" w:rsidP="00C75AB1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124AE5">
              <w:rPr>
                <w:rFonts w:ascii="Century Gothic" w:hAnsi="Century Gothic"/>
                <w:bCs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265AF02B" w14:textId="6295C612" w:rsidR="00C75AB1" w:rsidRPr="00512E9D" w:rsidRDefault="00C75AB1" w:rsidP="00C75AB1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124AE5">
              <w:rPr>
                <w:rFonts w:ascii="Century Gothic" w:hAnsi="Century Gothic"/>
                <w:bCs/>
                <w:sz w:val="16"/>
                <w:szCs w:val="16"/>
              </w:rPr>
              <w:t>Main purpose, focus of the role.</w:t>
            </w:r>
          </w:p>
        </w:tc>
        <w:tc>
          <w:tcPr>
            <w:tcW w:w="6186" w:type="dxa"/>
          </w:tcPr>
          <w:p w14:paraId="5FFF17EE" w14:textId="3805551A" w:rsidR="00C75AB1" w:rsidRPr="00C73B6F" w:rsidRDefault="00C75AB1" w:rsidP="00C75AB1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  <w:r w:rsidRPr="00C73B6F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>You will be responsible for assisting the Risk &amp; Security team in identifying and recording current, new and emerging areas of security and compliance risk.</w:t>
            </w:r>
            <w:r w:rsidR="00A9017E" w:rsidRPr="00C73B6F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 xml:space="preserve">  </w:t>
            </w:r>
            <w:r w:rsidRPr="00C73B6F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  <w:t xml:space="preserve">You will take part in the management of internal and external stakeholders and develop the risk framework to enable the business to achieve our strategic objectives. </w:t>
            </w:r>
          </w:p>
          <w:p w14:paraId="22E57440" w14:textId="77777777" w:rsidR="00C75AB1" w:rsidRPr="00C73B6F" w:rsidRDefault="00C75AB1" w:rsidP="00C75AB1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en-GB"/>
              </w:rPr>
            </w:pPr>
          </w:p>
          <w:p w14:paraId="22A92C42" w14:textId="29B3CA13" w:rsidR="00C75AB1" w:rsidRPr="00C73B6F" w:rsidRDefault="00C75AB1" w:rsidP="00C75AB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C73B6F">
              <w:rPr>
                <w:rFonts w:ascii="Century Gothic" w:hAnsi="Century Gothic" w:cstheme="minorHAnsi"/>
                <w:color w:val="000000"/>
                <w:sz w:val="20"/>
                <w:szCs w:val="20"/>
                <w:shd w:val="clear" w:color="auto" w:fill="FFFFFF"/>
              </w:rPr>
              <w:t>Collect business requirements and provide advice and oversight to ensure that Information Security policy is complied with for projects, processes, and systems.</w:t>
            </w:r>
          </w:p>
          <w:p w14:paraId="13D69E8D" w14:textId="182161A1" w:rsidR="00C75AB1" w:rsidRPr="00C73B6F" w:rsidRDefault="00C75AB1" w:rsidP="00C75AB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C73B6F">
              <w:rPr>
                <w:rFonts w:ascii="Century Gothic" w:hAnsi="Century Gothic" w:cstheme="minorHAnsi"/>
                <w:sz w:val="20"/>
                <w:szCs w:val="20"/>
              </w:rPr>
              <w:t>Support the implementation of Cyber Security programme</w:t>
            </w:r>
          </w:p>
          <w:p w14:paraId="265AF02C" w14:textId="30B51B05" w:rsidR="00C75AB1" w:rsidRPr="00C73B6F" w:rsidRDefault="00C75AB1" w:rsidP="00C75AB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C73B6F">
              <w:rPr>
                <w:rFonts w:ascii="Century Gothic" w:hAnsi="Century Gothic" w:cstheme="minorHAnsi"/>
                <w:sz w:val="20"/>
                <w:szCs w:val="20"/>
              </w:rPr>
              <w:t>Oversight for Security architecture, principles, and standards</w:t>
            </w:r>
          </w:p>
          <w:p w14:paraId="265AF032" w14:textId="728B8E09" w:rsidR="00C75AB1" w:rsidRPr="00C73B6F" w:rsidRDefault="00C75AB1" w:rsidP="00C75AB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theme="minorHAnsi"/>
                <w:sz w:val="20"/>
                <w:szCs w:val="20"/>
              </w:rPr>
            </w:pPr>
            <w:r w:rsidRPr="00C73B6F">
              <w:rPr>
                <w:rFonts w:ascii="Century Gothic" w:hAnsi="Century Gothic" w:cstheme="minorHAnsi"/>
                <w:sz w:val="20"/>
                <w:szCs w:val="20"/>
              </w:rPr>
              <w:t xml:space="preserve">Provide security best practice and policy compliance advice to the IT Risk Analyst and the wider business </w:t>
            </w:r>
          </w:p>
        </w:tc>
      </w:tr>
      <w:tr w:rsidR="00793A25" w:rsidRPr="00C73B6F" w14:paraId="265AF056" w14:textId="77777777" w:rsidTr="00827CCA">
        <w:trPr>
          <w:trHeight w:val="1833"/>
        </w:trPr>
        <w:tc>
          <w:tcPr>
            <w:tcW w:w="2830" w:type="dxa"/>
          </w:tcPr>
          <w:p w14:paraId="265AF034" w14:textId="77777777" w:rsidR="00793A25" w:rsidRPr="00C73B6F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C73B6F">
              <w:rPr>
                <w:rFonts w:ascii="Century Gothic" w:hAnsi="Century Gothic"/>
                <w:b/>
                <w:bCs/>
              </w:rPr>
              <w:t xml:space="preserve">Role Objectives </w:t>
            </w:r>
          </w:p>
          <w:p w14:paraId="265AF035" w14:textId="08A81625" w:rsidR="00793A25" w:rsidRPr="00C73B6F" w:rsidRDefault="00793A25" w:rsidP="00DE5A72">
            <w:pPr>
              <w:rPr>
                <w:rFonts w:ascii="Century Gothic" w:hAnsi="Century Gothic"/>
                <w:sz w:val="16"/>
                <w:szCs w:val="16"/>
              </w:rPr>
            </w:pPr>
            <w:r w:rsidRPr="00C73B6F">
              <w:rPr>
                <w:rFonts w:ascii="Century Gothic" w:hAnsi="Century Gothic"/>
                <w:sz w:val="16"/>
                <w:szCs w:val="16"/>
              </w:rPr>
              <w:t>The key responsibilities and key accountabilities of role.</w:t>
            </w:r>
          </w:p>
          <w:p w14:paraId="265AF036" w14:textId="77777777" w:rsidR="00793A25" w:rsidRPr="00512E9D" w:rsidRDefault="00793A25" w:rsidP="00DE5A7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6186" w:type="dxa"/>
          </w:tcPr>
          <w:p w14:paraId="2D5515FD" w14:textId="25B45ADE" w:rsidR="00D13D31" w:rsidRPr="00025759" w:rsidRDefault="00D13D31" w:rsidP="00025759">
            <w:pPr>
              <w:rPr>
                <w:rFonts w:ascii="Century Gothic" w:hAnsi="Century Gothic"/>
                <w:sz w:val="20"/>
                <w:szCs w:val="20"/>
              </w:rPr>
            </w:pPr>
            <w:r w:rsidRPr="00025759">
              <w:rPr>
                <w:rFonts w:ascii="Century Gothic" w:hAnsi="Century Gothic"/>
                <w:sz w:val="20"/>
                <w:szCs w:val="20"/>
              </w:rPr>
              <w:t>Main duties and responsibilities, but not be limited to:</w:t>
            </w:r>
          </w:p>
          <w:p w14:paraId="52349B3E" w14:textId="4D5A8BC7" w:rsidR="00C43F3B" w:rsidRDefault="00C43F3B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Coordinate vulnerability management activities across the IT estate including areas such as operating technology and cloud environments</w:t>
            </w:r>
          </w:p>
          <w:p w14:paraId="14119D54" w14:textId="62397B1B" w:rsidR="00505B78" w:rsidRPr="00C73B6F" w:rsidRDefault="00C20478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M</w:t>
            </w:r>
            <w:r w:rsidR="00505B78" w:rsidRPr="00C73B6F">
              <w:rPr>
                <w:rFonts w:ascii="Century Gothic" w:hAnsi="Century Gothic"/>
                <w:sz w:val="20"/>
                <w:szCs w:val="20"/>
              </w:rPr>
              <w:t xml:space="preserve">aintain in depth understanding of </w:t>
            </w:r>
            <w:r w:rsidR="00AC2626" w:rsidRPr="00C73B6F">
              <w:rPr>
                <w:rFonts w:ascii="Century Gothic" w:hAnsi="Century Gothic"/>
                <w:sz w:val="20"/>
                <w:szCs w:val="20"/>
              </w:rPr>
              <w:t>Business Unit</w:t>
            </w:r>
            <w:r w:rsidR="00505B78" w:rsidRPr="00C73B6F">
              <w:rPr>
                <w:rFonts w:ascii="Century Gothic" w:hAnsi="Century Gothic"/>
                <w:sz w:val="20"/>
                <w:szCs w:val="20"/>
              </w:rPr>
              <w:t xml:space="preserve"> processes, systems, technologies, data, customers, consumers, partners</w:t>
            </w:r>
          </w:p>
          <w:p w14:paraId="35828A35" w14:textId="073CC8BA" w:rsidR="00505B78" w:rsidRPr="00C73B6F" w:rsidRDefault="00983DCC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Review the </w:t>
            </w:r>
            <w:r w:rsidR="00505B78" w:rsidRPr="00C73B6F">
              <w:rPr>
                <w:rFonts w:ascii="Century Gothic" w:hAnsi="Century Gothic"/>
                <w:sz w:val="20"/>
                <w:szCs w:val="20"/>
              </w:rPr>
              <w:t>Implement</w:t>
            </w:r>
            <w:r w:rsidRPr="00C73B6F">
              <w:rPr>
                <w:rFonts w:ascii="Century Gothic" w:hAnsi="Century Gothic"/>
                <w:sz w:val="20"/>
                <w:szCs w:val="20"/>
              </w:rPr>
              <w:t>ation</w:t>
            </w:r>
            <w:r w:rsidR="009A610B" w:rsidRPr="00C73B6F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505B78" w:rsidRPr="00C73B6F">
              <w:rPr>
                <w:rFonts w:ascii="Century Gothic" w:hAnsi="Century Gothic"/>
                <w:sz w:val="20"/>
                <w:szCs w:val="20"/>
              </w:rPr>
              <w:t>Information Security</w:t>
            </w:r>
            <w:r w:rsidR="00CE3D4B" w:rsidRPr="00C73B6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05B78" w:rsidRPr="00C73B6F">
              <w:rPr>
                <w:rFonts w:ascii="Century Gothic" w:hAnsi="Century Gothic"/>
                <w:sz w:val="20"/>
                <w:szCs w:val="20"/>
              </w:rPr>
              <w:t>Policies and Standards</w:t>
            </w:r>
            <w:r w:rsidR="00C64FF5" w:rsidRPr="00C73B6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BFCE5AC" w14:textId="74BC5DF3" w:rsidR="00505B78" w:rsidRPr="00C73B6F" w:rsidRDefault="00505B78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Communicate, oversee technical implementations of security solutions required to meet business objectives</w:t>
            </w:r>
          </w:p>
          <w:p w14:paraId="5A638474" w14:textId="77777777" w:rsidR="00145EA8" w:rsidRPr="00C73B6F" w:rsidRDefault="00505B78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Proactively </w:t>
            </w:r>
            <w:r w:rsidR="00C64FF5" w:rsidRPr="00C73B6F">
              <w:rPr>
                <w:rFonts w:ascii="Century Gothic" w:hAnsi="Century Gothic"/>
                <w:sz w:val="20"/>
                <w:szCs w:val="20"/>
              </w:rPr>
              <w:t xml:space="preserve">carry out security testing and </w:t>
            </w:r>
            <w:r w:rsidRPr="00C73B6F">
              <w:rPr>
                <w:rFonts w:ascii="Century Gothic" w:hAnsi="Century Gothic"/>
                <w:sz w:val="20"/>
                <w:szCs w:val="20"/>
              </w:rPr>
              <w:t xml:space="preserve">identify </w:t>
            </w:r>
            <w:r w:rsidR="00C64FF5" w:rsidRPr="00C73B6F">
              <w:rPr>
                <w:rFonts w:ascii="Century Gothic" w:hAnsi="Century Gothic"/>
                <w:sz w:val="20"/>
                <w:szCs w:val="20"/>
              </w:rPr>
              <w:t xml:space="preserve">areas of </w:t>
            </w:r>
            <w:r w:rsidRPr="00C73B6F">
              <w:rPr>
                <w:rFonts w:ascii="Century Gothic" w:hAnsi="Century Gothic"/>
                <w:sz w:val="20"/>
                <w:szCs w:val="20"/>
              </w:rPr>
              <w:t>non</w:t>
            </w:r>
            <w:r w:rsidR="00C64FF5" w:rsidRPr="00C73B6F">
              <w:rPr>
                <w:rFonts w:ascii="Century Gothic" w:hAnsi="Century Gothic"/>
                <w:sz w:val="20"/>
                <w:szCs w:val="20"/>
              </w:rPr>
              <w:t>-</w:t>
            </w:r>
            <w:r w:rsidRPr="00C73B6F">
              <w:rPr>
                <w:rFonts w:ascii="Century Gothic" w:hAnsi="Century Gothic"/>
                <w:sz w:val="20"/>
                <w:szCs w:val="20"/>
              </w:rPr>
              <w:t>compliance</w:t>
            </w:r>
            <w:r w:rsidR="004760D2" w:rsidRPr="00C73B6F">
              <w:rPr>
                <w:rFonts w:ascii="Century Gothic" w:hAnsi="Century Gothic"/>
                <w:sz w:val="20"/>
                <w:szCs w:val="20"/>
              </w:rPr>
              <w:t xml:space="preserve">, provide </w:t>
            </w:r>
            <w:r w:rsidR="009A753F" w:rsidRPr="00C73B6F">
              <w:rPr>
                <w:rFonts w:ascii="Century Gothic" w:hAnsi="Century Gothic"/>
                <w:sz w:val="20"/>
                <w:szCs w:val="20"/>
              </w:rPr>
              <w:t>recommendations,</w:t>
            </w:r>
            <w:r w:rsidR="004760D2" w:rsidRPr="00C73B6F">
              <w:rPr>
                <w:rFonts w:ascii="Century Gothic" w:hAnsi="Century Gothic"/>
                <w:sz w:val="20"/>
                <w:szCs w:val="20"/>
              </w:rPr>
              <w:t xml:space="preserve"> and facilitate the remediation activities where applicable</w:t>
            </w:r>
          </w:p>
          <w:p w14:paraId="1001A801" w14:textId="25B12E95" w:rsidR="003E23E8" w:rsidRPr="00C73B6F" w:rsidRDefault="003E23E8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Support the delivery of the third-party risk management framework</w:t>
            </w:r>
          </w:p>
          <w:p w14:paraId="1EB76D0C" w14:textId="77777777" w:rsidR="002D2F0F" w:rsidRDefault="00505B78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Participate in </w:t>
            </w:r>
            <w:r w:rsidR="000D133E" w:rsidRPr="00C73B6F">
              <w:rPr>
                <w:rFonts w:ascii="Century Gothic" w:hAnsi="Century Gothic"/>
                <w:sz w:val="20"/>
                <w:szCs w:val="20"/>
              </w:rPr>
              <w:t xml:space="preserve">internal security forums and external conferences </w:t>
            </w:r>
            <w:r w:rsidR="00E037AB" w:rsidRPr="00C73B6F">
              <w:rPr>
                <w:rFonts w:ascii="Century Gothic" w:hAnsi="Century Gothic"/>
                <w:sz w:val="20"/>
                <w:szCs w:val="20"/>
              </w:rPr>
              <w:t>engaging with industry experts and providing insights back into the business to influence the cyber security programme</w:t>
            </w:r>
          </w:p>
          <w:p w14:paraId="265AF055" w14:textId="70929679" w:rsidR="00E06958" w:rsidRPr="002D2F0F" w:rsidRDefault="002D2F0F" w:rsidP="002D2F0F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2D2F0F">
              <w:rPr>
                <w:rFonts w:ascii="Century Gothic" w:hAnsi="Century Gothic"/>
                <w:sz w:val="20"/>
                <w:szCs w:val="20"/>
              </w:rPr>
              <w:t>Provide cover across the Risk &amp; Security team</w:t>
            </w:r>
          </w:p>
        </w:tc>
      </w:tr>
      <w:tr w:rsidR="00793A25" w:rsidRPr="00512E9D" w14:paraId="265AF05F" w14:textId="77777777" w:rsidTr="00827CCA">
        <w:trPr>
          <w:trHeight w:val="1830"/>
        </w:trPr>
        <w:tc>
          <w:tcPr>
            <w:tcW w:w="2830" w:type="dxa"/>
          </w:tcPr>
          <w:p w14:paraId="265AF057" w14:textId="77777777" w:rsidR="00793A25" w:rsidRPr="00C73B6F" w:rsidRDefault="00793A25" w:rsidP="008B1F23">
            <w:pPr>
              <w:rPr>
                <w:rFonts w:ascii="Century Gothic" w:hAnsi="Century Gothic"/>
                <w:b/>
                <w:bCs/>
              </w:rPr>
            </w:pPr>
            <w:r w:rsidRPr="00C73B6F">
              <w:rPr>
                <w:rFonts w:ascii="Century Gothic" w:hAnsi="Century Gothic"/>
                <w:b/>
                <w:bCs/>
              </w:rPr>
              <w:t xml:space="preserve">Key Stakeholders </w:t>
            </w:r>
          </w:p>
          <w:p w14:paraId="265AF058" w14:textId="77777777" w:rsidR="00793A25" w:rsidRPr="00C73B6F" w:rsidRDefault="00793A25" w:rsidP="008B1F23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73B6F">
              <w:rPr>
                <w:rFonts w:ascii="Century Gothic" w:hAnsi="Century Gothic"/>
                <w:bCs/>
                <w:sz w:val="16"/>
                <w:szCs w:val="16"/>
              </w:rPr>
              <w:t xml:space="preserve">What are the challenges of the relationships, communication strategies required, etc </w:t>
            </w:r>
          </w:p>
        </w:tc>
        <w:tc>
          <w:tcPr>
            <w:tcW w:w="6186" w:type="dxa"/>
          </w:tcPr>
          <w:p w14:paraId="265AF059" w14:textId="4C225058" w:rsidR="00C31BF8" w:rsidRPr="00C73B6F" w:rsidRDefault="0031686B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Head of I</w:t>
            </w:r>
            <w:r w:rsidR="00533333" w:rsidRPr="00C73B6F">
              <w:rPr>
                <w:rFonts w:ascii="Century Gothic" w:hAnsi="Century Gothic"/>
                <w:sz w:val="20"/>
                <w:szCs w:val="20"/>
              </w:rPr>
              <w:t>T</w:t>
            </w:r>
            <w:r w:rsidRPr="00C73B6F">
              <w:rPr>
                <w:rFonts w:ascii="Century Gothic" w:hAnsi="Century Gothic"/>
                <w:sz w:val="20"/>
                <w:szCs w:val="20"/>
              </w:rPr>
              <w:t xml:space="preserve"> Risk &amp; Security </w:t>
            </w:r>
          </w:p>
          <w:p w14:paraId="15D68142" w14:textId="5E48A2DD" w:rsidR="00011F00" w:rsidRPr="00C73B6F" w:rsidRDefault="00011F00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Information Security Manager</w:t>
            </w:r>
          </w:p>
          <w:p w14:paraId="4CAE28CF" w14:textId="77777777" w:rsidR="001C635C" w:rsidRPr="00C73B6F" w:rsidRDefault="001C635C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GTS Business Partners</w:t>
            </w:r>
          </w:p>
          <w:p w14:paraId="7231AB61" w14:textId="6B9065AB" w:rsidR="001C635C" w:rsidRPr="00C73B6F" w:rsidRDefault="001C635C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ABF CISO</w:t>
            </w:r>
            <w:r w:rsidR="001F21D6" w:rsidRPr="00C73B6F">
              <w:rPr>
                <w:rFonts w:ascii="Century Gothic" w:hAnsi="Century Gothic"/>
                <w:sz w:val="20"/>
                <w:szCs w:val="20"/>
              </w:rPr>
              <w:t xml:space="preserve">, ABF </w:t>
            </w:r>
            <w:r w:rsidR="00134F81" w:rsidRPr="00C73B6F">
              <w:rPr>
                <w:rFonts w:ascii="Century Gothic" w:hAnsi="Century Gothic"/>
                <w:sz w:val="20"/>
                <w:szCs w:val="20"/>
              </w:rPr>
              <w:t>G</w:t>
            </w:r>
            <w:r w:rsidRPr="00C73B6F">
              <w:rPr>
                <w:rFonts w:ascii="Century Gothic" w:hAnsi="Century Gothic"/>
                <w:sz w:val="20"/>
                <w:szCs w:val="20"/>
              </w:rPr>
              <w:t>CS</w:t>
            </w:r>
            <w:r w:rsidR="00134F81" w:rsidRPr="00C73B6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F2354B">
              <w:rPr>
                <w:rFonts w:ascii="Century Gothic" w:hAnsi="Century Gothic"/>
                <w:sz w:val="20"/>
                <w:szCs w:val="20"/>
              </w:rPr>
              <w:t>BTS</w:t>
            </w:r>
            <w:r w:rsidR="00134F81" w:rsidRPr="00C73B6F">
              <w:rPr>
                <w:rFonts w:ascii="Century Gothic" w:hAnsi="Century Gothic"/>
                <w:sz w:val="20"/>
                <w:szCs w:val="20"/>
              </w:rPr>
              <w:t xml:space="preserve"> SOC </w:t>
            </w:r>
          </w:p>
          <w:p w14:paraId="2FCE3241" w14:textId="23EE1A41" w:rsidR="001C635C" w:rsidRPr="00C73B6F" w:rsidRDefault="001C635C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Business </w:t>
            </w:r>
            <w:r w:rsidR="00721626" w:rsidRPr="00C73B6F">
              <w:rPr>
                <w:rFonts w:ascii="Century Gothic" w:hAnsi="Century Gothic"/>
                <w:sz w:val="20"/>
                <w:szCs w:val="20"/>
              </w:rPr>
              <w:t xml:space="preserve">and Central Function Heads </w:t>
            </w:r>
            <w:r w:rsidRPr="00C73B6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65AF05A" w14:textId="53E69C81" w:rsidR="00793A25" w:rsidRPr="00C73B6F" w:rsidRDefault="0028403C" w:rsidP="00242752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Business Risk Manager </w:t>
            </w:r>
          </w:p>
          <w:p w14:paraId="265AF05E" w14:textId="70D1194F" w:rsidR="00EA2DC0" w:rsidRPr="00512E9D" w:rsidRDefault="00533333" w:rsidP="00134F81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Head of </w:t>
            </w:r>
            <w:r w:rsidR="001C0530">
              <w:rPr>
                <w:rFonts w:ascii="Century Gothic" w:hAnsi="Century Gothic"/>
                <w:sz w:val="20"/>
                <w:szCs w:val="20"/>
              </w:rPr>
              <w:t>Systems Technology</w:t>
            </w:r>
            <w:r w:rsidR="00D922CC" w:rsidRPr="00512E9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793A25" w:rsidRPr="00512E9D" w14:paraId="265AF066" w14:textId="77777777" w:rsidTr="00827CCA">
        <w:trPr>
          <w:trHeight w:val="1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AF060" w14:textId="77777777" w:rsidR="00793A25" w:rsidRPr="00C73B6F" w:rsidRDefault="00793A25" w:rsidP="00DE5A72">
            <w:pPr>
              <w:rPr>
                <w:rFonts w:ascii="Century Gothic" w:hAnsi="Century Gothic"/>
                <w:b/>
                <w:bCs/>
              </w:rPr>
            </w:pPr>
            <w:r w:rsidRPr="00C73B6F">
              <w:rPr>
                <w:rFonts w:ascii="Century Gothic" w:hAnsi="Century Gothic"/>
                <w:b/>
                <w:bCs/>
              </w:rPr>
              <w:t>Scope</w:t>
            </w:r>
          </w:p>
          <w:p w14:paraId="265AF061" w14:textId="77777777" w:rsidR="00793A25" w:rsidRPr="00C73B6F" w:rsidRDefault="00793A25" w:rsidP="00DE5A72">
            <w:pPr>
              <w:rPr>
                <w:rFonts w:ascii="Century Gothic" w:hAnsi="Century Gothic"/>
                <w:bCs/>
                <w:sz w:val="16"/>
                <w:szCs w:val="16"/>
              </w:rPr>
            </w:pPr>
            <w:r w:rsidRPr="00C73B6F">
              <w:rPr>
                <w:rFonts w:ascii="Century Gothic" w:hAnsi="Century Gothic"/>
                <w:bCs/>
                <w:sz w:val="16"/>
                <w:szCs w:val="16"/>
              </w:rPr>
              <w:t>Depth, breath of knowledge application, ability to innovate, complexity of tasks, budgetary responsibility.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0BCE" w14:textId="77777777" w:rsidR="0028403C" w:rsidRPr="00C73B6F" w:rsidRDefault="00D922CC" w:rsidP="00512E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Business relationship and collaboration on security matters</w:t>
            </w:r>
          </w:p>
          <w:p w14:paraId="3FD3BB9A" w14:textId="77777777" w:rsidR="001B4ECF" w:rsidRPr="00C73B6F" w:rsidRDefault="001B4ECF" w:rsidP="00512E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Requirements gathering </w:t>
            </w:r>
          </w:p>
          <w:p w14:paraId="265AF062" w14:textId="5190ECA8" w:rsidR="004C4A4E" w:rsidRPr="00C73B6F" w:rsidRDefault="0028403C" w:rsidP="00512E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Cyber Security </w:t>
            </w:r>
            <w:r w:rsidR="001B4ECF" w:rsidRPr="00C73B6F">
              <w:rPr>
                <w:rFonts w:ascii="Century Gothic" w:hAnsi="Century Gothic"/>
                <w:sz w:val="20"/>
                <w:szCs w:val="20"/>
              </w:rPr>
              <w:t xml:space="preserve">architecture </w:t>
            </w:r>
          </w:p>
          <w:p w14:paraId="265AF063" w14:textId="77777777" w:rsidR="00CE7EF4" w:rsidRPr="00C73B6F" w:rsidRDefault="00CE7EF4" w:rsidP="00512E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Advisory</w:t>
            </w:r>
          </w:p>
          <w:p w14:paraId="265AF065" w14:textId="6DEEB7D2" w:rsidR="00CE7EF4" w:rsidRPr="00512E9D" w:rsidRDefault="00CE7EF4" w:rsidP="00512E9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Project management</w:t>
            </w:r>
          </w:p>
        </w:tc>
      </w:tr>
    </w:tbl>
    <w:p w14:paraId="265AF069" w14:textId="77777777" w:rsidR="00793A25" w:rsidRDefault="00793A25" w:rsidP="00426D3E">
      <w:pPr>
        <w:spacing w:after="0" w:line="240" w:lineRule="auto"/>
        <w:ind w:left="142"/>
        <w:contextualSpacing/>
        <w:rPr>
          <w:rFonts w:ascii="Century Gothic" w:hAnsi="Century Gothic"/>
          <w:b/>
          <w:sz w:val="18"/>
          <w:szCs w:val="18"/>
        </w:rPr>
      </w:pPr>
    </w:p>
    <w:p w14:paraId="235FABAC" w14:textId="77777777" w:rsidR="00827CCA" w:rsidRDefault="00827CCA" w:rsidP="00426D3E">
      <w:pPr>
        <w:spacing w:after="0" w:line="240" w:lineRule="auto"/>
        <w:ind w:left="142"/>
        <w:contextualSpacing/>
        <w:rPr>
          <w:rFonts w:ascii="Century Gothic" w:hAnsi="Century Gothic"/>
          <w:b/>
          <w:sz w:val="18"/>
          <w:szCs w:val="18"/>
        </w:rPr>
      </w:pPr>
    </w:p>
    <w:p w14:paraId="728C1432" w14:textId="77777777" w:rsidR="00827CCA" w:rsidRDefault="00827CCA" w:rsidP="00426D3E">
      <w:pPr>
        <w:spacing w:after="0" w:line="240" w:lineRule="auto"/>
        <w:ind w:left="142"/>
        <w:contextualSpacing/>
        <w:rPr>
          <w:rFonts w:ascii="Century Gothic" w:hAnsi="Century Gothic"/>
          <w:b/>
          <w:sz w:val="18"/>
          <w:szCs w:val="18"/>
        </w:rPr>
      </w:pPr>
    </w:p>
    <w:p w14:paraId="0C6DB93F" w14:textId="77777777" w:rsidR="00827CCA" w:rsidRDefault="00827CCA" w:rsidP="00426D3E">
      <w:pPr>
        <w:spacing w:after="0" w:line="240" w:lineRule="auto"/>
        <w:ind w:left="142"/>
        <w:contextualSpacing/>
        <w:rPr>
          <w:rFonts w:ascii="Century Gothic" w:hAnsi="Century Gothic"/>
          <w:b/>
          <w:sz w:val="18"/>
          <w:szCs w:val="18"/>
        </w:rPr>
      </w:pPr>
    </w:p>
    <w:p w14:paraId="78EB08E4" w14:textId="77777777" w:rsidR="00827CCA" w:rsidRPr="00512E9D" w:rsidRDefault="00827CCA" w:rsidP="00426D3E">
      <w:pPr>
        <w:spacing w:after="0" w:line="240" w:lineRule="auto"/>
        <w:ind w:left="142"/>
        <w:contextualSpacing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4777"/>
        <w:gridCol w:w="1409"/>
      </w:tblGrid>
      <w:tr w:rsidR="00793A25" w:rsidRPr="00512E9D" w14:paraId="265AF06E" w14:textId="77777777" w:rsidTr="00827CCA">
        <w:tc>
          <w:tcPr>
            <w:tcW w:w="2830" w:type="dxa"/>
            <w:shd w:val="clear" w:color="auto" w:fill="E6E6E6"/>
          </w:tcPr>
          <w:p w14:paraId="265AF06A" w14:textId="77777777" w:rsidR="00793A25" w:rsidRPr="00827CCA" w:rsidRDefault="00793A25" w:rsidP="00DE5A72">
            <w:pPr>
              <w:rPr>
                <w:rFonts w:ascii="Century Gothic" w:hAnsi="Century Gothic"/>
                <w:b/>
              </w:rPr>
            </w:pPr>
            <w:r w:rsidRPr="00827CCA">
              <w:rPr>
                <w:rFonts w:ascii="Century Gothic" w:hAnsi="Century Gothic"/>
                <w:b/>
              </w:rPr>
              <w:t>Person Profile</w:t>
            </w:r>
          </w:p>
        </w:tc>
        <w:tc>
          <w:tcPr>
            <w:tcW w:w="4777" w:type="dxa"/>
            <w:shd w:val="clear" w:color="auto" w:fill="E6E6E6"/>
          </w:tcPr>
          <w:p w14:paraId="265AF06B" w14:textId="77777777" w:rsidR="00793A25" w:rsidRPr="00512E9D" w:rsidRDefault="00793A25" w:rsidP="00DE5A7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09" w:type="dxa"/>
            <w:shd w:val="clear" w:color="auto" w:fill="E6E6E6"/>
          </w:tcPr>
          <w:p w14:paraId="265AF06C" w14:textId="77777777" w:rsidR="00793A25" w:rsidRPr="00512E9D" w:rsidRDefault="00793A25" w:rsidP="00DE5A72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12E9D">
              <w:rPr>
                <w:rFonts w:ascii="Century Gothic" w:hAnsi="Century Gothic"/>
                <w:b/>
                <w:sz w:val="18"/>
                <w:szCs w:val="18"/>
              </w:rPr>
              <w:t xml:space="preserve">Essential or </w:t>
            </w:r>
          </w:p>
          <w:p w14:paraId="265AF06D" w14:textId="77777777" w:rsidR="00793A25" w:rsidRPr="00512E9D" w:rsidRDefault="00793A25" w:rsidP="00DE5A72">
            <w:pPr>
              <w:rPr>
                <w:rFonts w:ascii="Century Gothic" w:hAnsi="Century Gothic"/>
                <w:sz w:val="18"/>
                <w:szCs w:val="18"/>
              </w:rPr>
            </w:pPr>
            <w:r w:rsidRPr="00512E9D">
              <w:rPr>
                <w:rFonts w:ascii="Century Gothic" w:hAnsi="Century Gothic"/>
                <w:b/>
                <w:sz w:val="18"/>
                <w:szCs w:val="18"/>
              </w:rPr>
              <w:t>Desirable</w:t>
            </w:r>
          </w:p>
        </w:tc>
      </w:tr>
      <w:tr w:rsidR="00793A25" w:rsidRPr="00512E9D" w14:paraId="265AF07B" w14:textId="77777777" w:rsidTr="00827CCA">
        <w:tc>
          <w:tcPr>
            <w:tcW w:w="2830" w:type="dxa"/>
          </w:tcPr>
          <w:p w14:paraId="265AF06F" w14:textId="77777777" w:rsidR="00793A25" w:rsidRPr="00C73B6F" w:rsidRDefault="00793A25" w:rsidP="008B1F23">
            <w:pPr>
              <w:rPr>
                <w:rFonts w:ascii="Century Gothic" w:hAnsi="Century Gothic"/>
                <w:b/>
              </w:rPr>
            </w:pPr>
            <w:r w:rsidRPr="00C73B6F">
              <w:rPr>
                <w:rFonts w:ascii="Century Gothic" w:hAnsi="Century Gothic"/>
                <w:b/>
              </w:rPr>
              <w:t>Knowledge</w:t>
            </w:r>
          </w:p>
          <w:p w14:paraId="265AF070" w14:textId="77777777" w:rsidR="00793A25" w:rsidRPr="00C73B6F" w:rsidRDefault="00793A25" w:rsidP="008B1F23">
            <w:pPr>
              <w:rPr>
                <w:rFonts w:ascii="Century Gothic" w:hAnsi="Century Gothic"/>
                <w:sz w:val="16"/>
                <w:szCs w:val="16"/>
              </w:rPr>
            </w:pPr>
            <w:r w:rsidRPr="00C73B6F">
              <w:rPr>
                <w:rFonts w:ascii="Century Gothic" w:hAnsi="Century Gothic"/>
                <w:sz w:val="16"/>
                <w:szCs w:val="16"/>
              </w:rPr>
              <w:t>Consider experience, any formal qualifications genuinely necessary or any key areas of knowledge.</w:t>
            </w:r>
          </w:p>
        </w:tc>
        <w:tc>
          <w:tcPr>
            <w:tcW w:w="4777" w:type="dxa"/>
          </w:tcPr>
          <w:p w14:paraId="265AF071" w14:textId="77777777" w:rsidR="005836F0" w:rsidRPr="00C73B6F" w:rsidRDefault="00532F36" w:rsidP="005836F0">
            <w:p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Degree in computer science, or closely related</w:t>
            </w:r>
          </w:p>
          <w:p w14:paraId="265AF072" w14:textId="40DD80F7" w:rsidR="005836F0" w:rsidRPr="00C73B6F" w:rsidRDefault="001C2FE0" w:rsidP="005836F0">
            <w:p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Strong </w:t>
            </w:r>
            <w:r w:rsidR="005836F0" w:rsidRPr="00C73B6F">
              <w:rPr>
                <w:rFonts w:ascii="Century Gothic" w:hAnsi="Century Gothic"/>
                <w:sz w:val="20"/>
                <w:szCs w:val="20"/>
              </w:rPr>
              <w:t>interpersonal skills and communication</w:t>
            </w:r>
          </w:p>
          <w:p w14:paraId="265AF073" w14:textId="672D5155" w:rsidR="005836F0" w:rsidRPr="00C73B6F" w:rsidRDefault="001B4ECF" w:rsidP="005836F0">
            <w:p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Self-starter</w:t>
            </w:r>
            <w:r w:rsidR="00532F36" w:rsidRPr="00C73B6F">
              <w:rPr>
                <w:rFonts w:ascii="Century Gothic" w:hAnsi="Century Gothic"/>
                <w:sz w:val="20"/>
                <w:szCs w:val="20"/>
              </w:rPr>
              <w:t xml:space="preserve"> and inquisitive</w:t>
            </w:r>
          </w:p>
          <w:p w14:paraId="265AF074" w14:textId="0C3D39A8" w:rsidR="005836F0" w:rsidRPr="00C73B6F" w:rsidRDefault="00532F36" w:rsidP="005836F0">
            <w:p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Security qualification e.g. SS</w:t>
            </w:r>
            <w:r w:rsidR="00A76792" w:rsidRPr="00C73B6F">
              <w:rPr>
                <w:rFonts w:ascii="Century Gothic" w:hAnsi="Century Gothic"/>
                <w:sz w:val="20"/>
                <w:szCs w:val="20"/>
              </w:rPr>
              <w:t>C</w:t>
            </w:r>
            <w:r w:rsidRPr="00C73B6F">
              <w:rPr>
                <w:rFonts w:ascii="Century Gothic" w:hAnsi="Century Gothic"/>
                <w:sz w:val="20"/>
                <w:szCs w:val="20"/>
              </w:rPr>
              <w:t>P</w:t>
            </w:r>
            <w:r w:rsidR="000019AF" w:rsidRPr="00C73B6F">
              <w:rPr>
                <w:rFonts w:ascii="Century Gothic" w:hAnsi="Century Gothic"/>
                <w:sz w:val="20"/>
                <w:szCs w:val="20"/>
              </w:rPr>
              <w:t>, CCSP</w:t>
            </w:r>
            <w:r w:rsidR="00EE31FF" w:rsidRPr="00C73B6F">
              <w:rPr>
                <w:rFonts w:ascii="Century Gothic" w:hAnsi="Century Gothic"/>
                <w:sz w:val="20"/>
                <w:szCs w:val="20"/>
              </w:rPr>
              <w:t>, C</w:t>
            </w:r>
            <w:r w:rsidR="00BC1FA6" w:rsidRPr="00C73B6F">
              <w:rPr>
                <w:rFonts w:ascii="Century Gothic" w:hAnsi="Century Gothic"/>
                <w:sz w:val="20"/>
                <w:szCs w:val="20"/>
              </w:rPr>
              <w:t>ompTIA Security+</w:t>
            </w:r>
          </w:p>
          <w:p w14:paraId="265AF075" w14:textId="77777777" w:rsidR="005836F0" w:rsidRPr="00C73B6F" w:rsidRDefault="005836F0" w:rsidP="00532F36">
            <w:pPr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 xml:space="preserve">Experience of working in a </w:t>
            </w:r>
            <w:r w:rsidR="00532F36" w:rsidRPr="00C73B6F">
              <w:rPr>
                <w:rFonts w:ascii="Century Gothic" w:hAnsi="Century Gothic"/>
                <w:sz w:val="20"/>
                <w:szCs w:val="20"/>
              </w:rPr>
              <w:t>security</w:t>
            </w:r>
            <w:r w:rsidRPr="00C73B6F">
              <w:rPr>
                <w:rFonts w:ascii="Century Gothic" w:hAnsi="Century Gothic"/>
                <w:sz w:val="20"/>
                <w:szCs w:val="20"/>
              </w:rPr>
              <w:t xml:space="preserve"> team</w:t>
            </w:r>
          </w:p>
        </w:tc>
        <w:tc>
          <w:tcPr>
            <w:tcW w:w="1409" w:type="dxa"/>
          </w:tcPr>
          <w:p w14:paraId="265AF076" w14:textId="1489BC0F" w:rsidR="00793A25" w:rsidRPr="00C73B6F" w:rsidRDefault="00D14AF7" w:rsidP="00DE5A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265AF077" w14:textId="77777777" w:rsidR="00793A25" w:rsidRPr="00C73B6F" w:rsidRDefault="00793A25" w:rsidP="00DE5A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5AF078" w14:textId="77777777" w:rsidR="00B37371" w:rsidRPr="00C73B6F" w:rsidRDefault="00B37371" w:rsidP="00B37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5AF079" w14:textId="77777777" w:rsidR="00B37371" w:rsidRPr="00C73B6F" w:rsidRDefault="00532F36" w:rsidP="00B3737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D</w:t>
            </w:r>
          </w:p>
          <w:p w14:paraId="265AF07A" w14:textId="6BD3BEB5" w:rsidR="00793A25" w:rsidRPr="00C73B6F" w:rsidRDefault="00011F00" w:rsidP="0029001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</w:tr>
      <w:tr w:rsidR="00793A25" w:rsidRPr="00512E9D" w14:paraId="265AF084" w14:textId="77777777" w:rsidTr="00827CCA">
        <w:tc>
          <w:tcPr>
            <w:tcW w:w="2830" w:type="dxa"/>
          </w:tcPr>
          <w:p w14:paraId="265AF07C" w14:textId="77777777" w:rsidR="00793A25" w:rsidRPr="00C73B6F" w:rsidRDefault="00793A25" w:rsidP="00DE5A72">
            <w:pPr>
              <w:rPr>
                <w:rFonts w:ascii="Century Gothic" w:hAnsi="Century Gothic"/>
                <w:b/>
              </w:rPr>
            </w:pPr>
            <w:r w:rsidRPr="00C73B6F">
              <w:rPr>
                <w:rFonts w:ascii="Century Gothic" w:hAnsi="Century Gothic"/>
                <w:b/>
              </w:rPr>
              <w:t>Key Behaviours</w:t>
            </w:r>
          </w:p>
          <w:p w14:paraId="265AF07D" w14:textId="77777777" w:rsidR="00793A25" w:rsidRPr="00C73B6F" w:rsidRDefault="00793A25" w:rsidP="00DE5A72">
            <w:pPr>
              <w:rPr>
                <w:rFonts w:ascii="Century Gothic" w:hAnsi="Century Gothic"/>
                <w:sz w:val="16"/>
                <w:szCs w:val="16"/>
              </w:rPr>
            </w:pPr>
            <w:r w:rsidRPr="00C73B6F">
              <w:rPr>
                <w:rFonts w:ascii="Century Gothic" w:hAnsi="Century Gothic"/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C73B6F">
              <w:rPr>
                <w:rFonts w:ascii="Century Gothic" w:hAnsi="Century Gothic"/>
                <w:sz w:val="16"/>
                <w:szCs w:val="16"/>
              </w:rPr>
              <w:t>and also</w:t>
            </w:r>
            <w:proofErr w:type="gramEnd"/>
            <w:r w:rsidRPr="00C73B6F">
              <w:rPr>
                <w:rFonts w:ascii="Century Gothic" w:hAnsi="Century Gothic"/>
                <w:sz w:val="16"/>
                <w:szCs w:val="16"/>
              </w:rPr>
              <w:t xml:space="preserve"> any role specific behaviours.</w:t>
            </w:r>
          </w:p>
        </w:tc>
        <w:tc>
          <w:tcPr>
            <w:tcW w:w="4777" w:type="dxa"/>
          </w:tcPr>
          <w:p w14:paraId="265AF07E" w14:textId="77777777" w:rsidR="00793A25" w:rsidRPr="007642D8" w:rsidRDefault="00290018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7642D8">
              <w:rPr>
                <w:rFonts w:ascii="Century Gothic" w:hAnsi="Century Gothic"/>
                <w:sz w:val="20"/>
                <w:szCs w:val="20"/>
              </w:rPr>
              <w:t>Customer Focused</w:t>
            </w:r>
            <w:r w:rsidR="00793A25" w:rsidRPr="007642D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65AF07F" w14:textId="77777777" w:rsidR="00793A25" w:rsidRPr="007642D8" w:rsidRDefault="00290018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7642D8">
              <w:rPr>
                <w:rFonts w:ascii="Century Gothic" w:hAnsi="Century Gothic"/>
                <w:sz w:val="20"/>
                <w:szCs w:val="20"/>
              </w:rPr>
              <w:t>Insightful</w:t>
            </w:r>
          </w:p>
          <w:p w14:paraId="265AF080" w14:textId="77777777" w:rsidR="00793A25" w:rsidRPr="007642D8" w:rsidRDefault="00793A25" w:rsidP="00DE5A72">
            <w:pPr>
              <w:rPr>
                <w:rFonts w:ascii="Century Gothic" w:hAnsi="Century Gothic"/>
                <w:sz w:val="20"/>
                <w:szCs w:val="20"/>
              </w:rPr>
            </w:pPr>
            <w:r w:rsidRPr="007642D8">
              <w:rPr>
                <w:rFonts w:ascii="Century Gothic" w:hAnsi="Century Gothic"/>
                <w:sz w:val="20"/>
                <w:szCs w:val="20"/>
              </w:rPr>
              <w:t>Work as a team.</w:t>
            </w:r>
          </w:p>
        </w:tc>
        <w:tc>
          <w:tcPr>
            <w:tcW w:w="1409" w:type="dxa"/>
          </w:tcPr>
          <w:p w14:paraId="265AF081" w14:textId="77777777" w:rsidR="00793A25" w:rsidRPr="00C73B6F" w:rsidRDefault="00793A25" w:rsidP="00DE5A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5AF082" w14:textId="77777777" w:rsidR="00793A25" w:rsidRPr="00C73B6F" w:rsidRDefault="00793A25" w:rsidP="00DE5A7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E</w:t>
            </w:r>
          </w:p>
          <w:p w14:paraId="265AF083" w14:textId="77777777" w:rsidR="00793A25" w:rsidRPr="00C73B6F" w:rsidRDefault="00793A25" w:rsidP="002D704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73B6F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</w:tr>
      <w:tr w:rsidR="00793A25" w:rsidRPr="00512E9D" w14:paraId="265AF08B" w14:textId="77777777" w:rsidTr="00827CCA">
        <w:trPr>
          <w:trHeight w:val="485"/>
        </w:trPr>
        <w:tc>
          <w:tcPr>
            <w:tcW w:w="2830" w:type="dxa"/>
          </w:tcPr>
          <w:p w14:paraId="265AF087" w14:textId="2699DAAE" w:rsidR="00793A25" w:rsidRPr="00512E9D" w:rsidRDefault="00793A25" w:rsidP="00196E0C">
            <w:pPr>
              <w:rPr>
                <w:rFonts w:ascii="Century Gothic" w:hAnsi="Century Gothic"/>
                <w:sz w:val="18"/>
                <w:szCs w:val="18"/>
              </w:rPr>
            </w:pPr>
            <w:r w:rsidRPr="00C73B6F">
              <w:rPr>
                <w:rFonts w:ascii="Century Gothic" w:hAnsi="Century Gothic"/>
                <w:b/>
              </w:rPr>
              <w:t xml:space="preserve">Other Factors </w:t>
            </w:r>
          </w:p>
        </w:tc>
        <w:tc>
          <w:tcPr>
            <w:tcW w:w="4777" w:type="dxa"/>
          </w:tcPr>
          <w:p w14:paraId="265AF088" w14:textId="0F6DAEE6" w:rsidR="00793A25" w:rsidRPr="007642D8" w:rsidRDefault="00463851" w:rsidP="00DE5A72">
            <w:pPr>
              <w:rPr>
                <w:rFonts w:ascii="Century Gothic" w:hAnsi="Century Gothic"/>
                <w:strike/>
                <w:sz w:val="20"/>
                <w:szCs w:val="20"/>
              </w:rPr>
            </w:pPr>
            <w:r w:rsidRPr="007642D8">
              <w:rPr>
                <w:rFonts w:ascii="Century Gothic" w:hAnsi="Century Gothic"/>
                <w:sz w:val="20"/>
                <w:szCs w:val="20"/>
              </w:rPr>
              <w:t>Occasional Travel</w:t>
            </w:r>
          </w:p>
        </w:tc>
        <w:tc>
          <w:tcPr>
            <w:tcW w:w="1409" w:type="dxa"/>
          </w:tcPr>
          <w:p w14:paraId="265AF08A" w14:textId="142964E9" w:rsidR="00196E0C" w:rsidRPr="00196E0C" w:rsidRDefault="00B7371A" w:rsidP="00196E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6E0C"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</w:tr>
    </w:tbl>
    <w:p w14:paraId="265AF097" w14:textId="77777777" w:rsidR="007A3E27" w:rsidRPr="00512E9D" w:rsidRDefault="007A3E27" w:rsidP="00196E0C">
      <w:pPr>
        <w:spacing w:after="0" w:line="240" w:lineRule="auto"/>
        <w:rPr>
          <w:rFonts w:ascii="Century Gothic" w:hAnsi="Century Gothic"/>
          <w:sz w:val="18"/>
          <w:szCs w:val="18"/>
        </w:rPr>
      </w:pPr>
    </w:p>
    <w:sectPr w:rsidR="007A3E27" w:rsidRPr="00512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5AE0"/>
    <w:multiLevelType w:val="hybridMultilevel"/>
    <w:tmpl w:val="2BA49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01CD"/>
    <w:multiLevelType w:val="hybridMultilevel"/>
    <w:tmpl w:val="713EF7D6"/>
    <w:lvl w:ilvl="0" w:tplc="87F66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2ADFE">
      <w:start w:val="18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9C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ED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6C9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25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E0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6E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E3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E00296C"/>
    <w:multiLevelType w:val="hybridMultilevel"/>
    <w:tmpl w:val="93E08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80A59"/>
    <w:multiLevelType w:val="hybridMultilevel"/>
    <w:tmpl w:val="5BBE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915"/>
    <w:multiLevelType w:val="hybridMultilevel"/>
    <w:tmpl w:val="6D22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C2052"/>
    <w:multiLevelType w:val="hybridMultilevel"/>
    <w:tmpl w:val="55CA9E64"/>
    <w:lvl w:ilvl="0" w:tplc="DA5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EE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80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25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0A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65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07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42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A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1E16E2"/>
    <w:multiLevelType w:val="hybridMultilevel"/>
    <w:tmpl w:val="3E022CDE"/>
    <w:lvl w:ilvl="0" w:tplc="8F845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4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63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25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9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E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C81E46"/>
    <w:multiLevelType w:val="hybridMultilevel"/>
    <w:tmpl w:val="49E067B8"/>
    <w:lvl w:ilvl="0" w:tplc="38684168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340559">
    <w:abstractNumId w:val="7"/>
  </w:num>
  <w:num w:numId="2" w16cid:durableId="2026326856">
    <w:abstractNumId w:val="2"/>
  </w:num>
  <w:num w:numId="3" w16cid:durableId="876890464">
    <w:abstractNumId w:val="4"/>
  </w:num>
  <w:num w:numId="4" w16cid:durableId="1168204933">
    <w:abstractNumId w:val="0"/>
  </w:num>
  <w:num w:numId="5" w16cid:durableId="1968776538">
    <w:abstractNumId w:val="1"/>
  </w:num>
  <w:num w:numId="6" w16cid:durableId="1195967392">
    <w:abstractNumId w:val="6"/>
  </w:num>
  <w:num w:numId="7" w16cid:durableId="949707710">
    <w:abstractNumId w:val="5"/>
  </w:num>
  <w:num w:numId="8" w16cid:durableId="3987479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9"/>
    <w:rsid w:val="000019AF"/>
    <w:rsid w:val="0001002F"/>
    <w:rsid w:val="00011F00"/>
    <w:rsid w:val="00025759"/>
    <w:rsid w:val="00046F37"/>
    <w:rsid w:val="000568BA"/>
    <w:rsid w:val="000D133E"/>
    <w:rsid w:val="000D1C61"/>
    <w:rsid w:val="000D1FD3"/>
    <w:rsid w:val="000D6B4F"/>
    <w:rsid w:val="000E602B"/>
    <w:rsid w:val="000F5545"/>
    <w:rsid w:val="001043A9"/>
    <w:rsid w:val="00132584"/>
    <w:rsid w:val="00134F81"/>
    <w:rsid w:val="00145775"/>
    <w:rsid w:val="0014579C"/>
    <w:rsid w:val="00145EA8"/>
    <w:rsid w:val="001463FB"/>
    <w:rsid w:val="0015071F"/>
    <w:rsid w:val="001613BE"/>
    <w:rsid w:val="00167227"/>
    <w:rsid w:val="00174187"/>
    <w:rsid w:val="00196E0C"/>
    <w:rsid w:val="001B0053"/>
    <w:rsid w:val="001B3E62"/>
    <w:rsid w:val="001B4ECF"/>
    <w:rsid w:val="001C0530"/>
    <w:rsid w:val="001C2FE0"/>
    <w:rsid w:val="001C635C"/>
    <w:rsid w:val="001F21D6"/>
    <w:rsid w:val="002240D7"/>
    <w:rsid w:val="00231D64"/>
    <w:rsid w:val="0023700A"/>
    <w:rsid w:val="00242752"/>
    <w:rsid w:val="00255ABD"/>
    <w:rsid w:val="00266E7D"/>
    <w:rsid w:val="0028403C"/>
    <w:rsid w:val="00290018"/>
    <w:rsid w:val="002A5000"/>
    <w:rsid w:val="002C1DFC"/>
    <w:rsid w:val="002D2F0F"/>
    <w:rsid w:val="002D7048"/>
    <w:rsid w:val="002F406C"/>
    <w:rsid w:val="0031686B"/>
    <w:rsid w:val="00332D8F"/>
    <w:rsid w:val="00341AE3"/>
    <w:rsid w:val="00352404"/>
    <w:rsid w:val="00361A73"/>
    <w:rsid w:val="003702B8"/>
    <w:rsid w:val="00376C3E"/>
    <w:rsid w:val="00377B1B"/>
    <w:rsid w:val="00390416"/>
    <w:rsid w:val="00394432"/>
    <w:rsid w:val="00395369"/>
    <w:rsid w:val="003974BE"/>
    <w:rsid w:val="003A3711"/>
    <w:rsid w:val="003A382D"/>
    <w:rsid w:val="003C309E"/>
    <w:rsid w:val="003D21D6"/>
    <w:rsid w:val="003E23E8"/>
    <w:rsid w:val="003E7957"/>
    <w:rsid w:val="003F7815"/>
    <w:rsid w:val="0040789F"/>
    <w:rsid w:val="00414834"/>
    <w:rsid w:val="0041724C"/>
    <w:rsid w:val="004231C1"/>
    <w:rsid w:val="004242B8"/>
    <w:rsid w:val="00426D3E"/>
    <w:rsid w:val="00463851"/>
    <w:rsid w:val="00471246"/>
    <w:rsid w:val="00472830"/>
    <w:rsid w:val="004760D2"/>
    <w:rsid w:val="004803A9"/>
    <w:rsid w:val="004B0880"/>
    <w:rsid w:val="004C4A4E"/>
    <w:rsid w:val="004C60FD"/>
    <w:rsid w:val="004D060B"/>
    <w:rsid w:val="004D5C90"/>
    <w:rsid w:val="005007AB"/>
    <w:rsid w:val="00505B78"/>
    <w:rsid w:val="00510CAA"/>
    <w:rsid w:val="00512E9D"/>
    <w:rsid w:val="005227FC"/>
    <w:rsid w:val="00532F36"/>
    <w:rsid w:val="00533333"/>
    <w:rsid w:val="00533CFF"/>
    <w:rsid w:val="00536249"/>
    <w:rsid w:val="00537226"/>
    <w:rsid w:val="00542A77"/>
    <w:rsid w:val="00565609"/>
    <w:rsid w:val="005736F7"/>
    <w:rsid w:val="005836F0"/>
    <w:rsid w:val="00592CD6"/>
    <w:rsid w:val="005B1F5E"/>
    <w:rsid w:val="005C56A3"/>
    <w:rsid w:val="005D0A51"/>
    <w:rsid w:val="005D1BA9"/>
    <w:rsid w:val="005E4536"/>
    <w:rsid w:val="005E56DB"/>
    <w:rsid w:val="005F3FF3"/>
    <w:rsid w:val="005F65FC"/>
    <w:rsid w:val="00614902"/>
    <w:rsid w:val="0062305A"/>
    <w:rsid w:val="00651D37"/>
    <w:rsid w:val="00660E9B"/>
    <w:rsid w:val="00661DC9"/>
    <w:rsid w:val="006759AE"/>
    <w:rsid w:val="006835EF"/>
    <w:rsid w:val="006E2107"/>
    <w:rsid w:val="006E5482"/>
    <w:rsid w:val="006F2E58"/>
    <w:rsid w:val="006F43D4"/>
    <w:rsid w:val="00721626"/>
    <w:rsid w:val="0073078A"/>
    <w:rsid w:val="0074241B"/>
    <w:rsid w:val="007642D8"/>
    <w:rsid w:val="00770D9A"/>
    <w:rsid w:val="00786DAF"/>
    <w:rsid w:val="00793A25"/>
    <w:rsid w:val="007A3E27"/>
    <w:rsid w:val="007A42D3"/>
    <w:rsid w:val="007B10A9"/>
    <w:rsid w:val="007D44CB"/>
    <w:rsid w:val="007D5DD5"/>
    <w:rsid w:val="007F21BF"/>
    <w:rsid w:val="00813E0D"/>
    <w:rsid w:val="00827CCA"/>
    <w:rsid w:val="00841394"/>
    <w:rsid w:val="00847DF5"/>
    <w:rsid w:val="00854B50"/>
    <w:rsid w:val="00880496"/>
    <w:rsid w:val="008813BA"/>
    <w:rsid w:val="008B1F23"/>
    <w:rsid w:val="008B5B4E"/>
    <w:rsid w:val="008D42DF"/>
    <w:rsid w:val="008E715F"/>
    <w:rsid w:val="008F5467"/>
    <w:rsid w:val="00956535"/>
    <w:rsid w:val="009572FE"/>
    <w:rsid w:val="00982042"/>
    <w:rsid w:val="00983DCC"/>
    <w:rsid w:val="009A610B"/>
    <w:rsid w:val="009A753F"/>
    <w:rsid w:val="009C7A76"/>
    <w:rsid w:val="009D44E3"/>
    <w:rsid w:val="009F6573"/>
    <w:rsid w:val="00A2156B"/>
    <w:rsid w:val="00A56B44"/>
    <w:rsid w:val="00A608FD"/>
    <w:rsid w:val="00A6482E"/>
    <w:rsid w:val="00A70864"/>
    <w:rsid w:val="00A73758"/>
    <w:rsid w:val="00A76792"/>
    <w:rsid w:val="00A9017E"/>
    <w:rsid w:val="00A93608"/>
    <w:rsid w:val="00A96CAF"/>
    <w:rsid w:val="00AA6A1A"/>
    <w:rsid w:val="00AC2626"/>
    <w:rsid w:val="00AC6F99"/>
    <w:rsid w:val="00AC7654"/>
    <w:rsid w:val="00B02E02"/>
    <w:rsid w:val="00B16997"/>
    <w:rsid w:val="00B37371"/>
    <w:rsid w:val="00B375B9"/>
    <w:rsid w:val="00B37695"/>
    <w:rsid w:val="00B531E3"/>
    <w:rsid w:val="00B628FD"/>
    <w:rsid w:val="00B64404"/>
    <w:rsid w:val="00B7371A"/>
    <w:rsid w:val="00B76BA7"/>
    <w:rsid w:val="00B834B7"/>
    <w:rsid w:val="00BB2969"/>
    <w:rsid w:val="00BC1D70"/>
    <w:rsid w:val="00BC1FA6"/>
    <w:rsid w:val="00C06DA1"/>
    <w:rsid w:val="00C20478"/>
    <w:rsid w:val="00C27457"/>
    <w:rsid w:val="00C31BF8"/>
    <w:rsid w:val="00C35F9B"/>
    <w:rsid w:val="00C43F3B"/>
    <w:rsid w:val="00C50190"/>
    <w:rsid w:val="00C53B01"/>
    <w:rsid w:val="00C64B17"/>
    <w:rsid w:val="00C64FF5"/>
    <w:rsid w:val="00C73B6F"/>
    <w:rsid w:val="00C75AB1"/>
    <w:rsid w:val="00C8052E"/>
    <w:rsid w:val="00CA526E"/>
    <w:rsid w:val="00CB55EC"/>
    <w:rsid w:val="00CB74CC"/>
    <w:rsid w:val="00CD73AC"/>
    <w:rsid w:val="00CE3D4B"/>
    <w:rsid w:val="00CE7EF4"/>
    <w:rsid w:val="00D13D31"/>
    <w:rsid w:val="00D14AF7"/>
    <w:rsid w:val="00D27218"/>
    <w:rsid w:val="00D37690"/>
    <w:rsid w:val="00D46B3B"/>
    <w:rsid w:val="00D52275"/>
    <w:rsid w:val="00D72140"/>
    <w:rsid w:val="00D90753"/>
    <w:rsid w:val="00D922CC"/>
    <w:rsid w:val="00DA3E60"/>
    <w:rsid w:val="00DC3818"/>
    <w:rsid w:val="00E037AB"/>
    <w:rsid w:val="00E06958"/>
    <w:rsid w:val="00E61B61"/>
    <w:rsid w:val="00E9079A"/>
    <w:rsid w:val="00EA1FAB"/>
    <w:rsid w:val="00EA2DC0"/>
    <w:rsid w:val="00EA364A"/>
    <w:rsid w:val="00EB5316"/>
    <w:rsid w:val="00EC5931"/>
    <w:rsid w:val="00EE31FF"/>
    <w:rsid w:val="00F139AF"/>
    <w:rsid w:val="00F2354B"/>
    <w:rsid w:val="00F401B2"/>
    <w:rsid w:val="00F47F17"/>
    <w:rsid w:val="00F53052"/>
    <w:rsid w:val="00F610E8"/>
    <w:rsid w:val="00F6527C"/>
    <w:rsid w:val="00F76882"/>
    <w:rsid w:val="00F85A2C"/>
    <w:rsid w:val="00F8709C"/>
    <w:rsid w:val="00F976A1"/>
    <w:rsid w:val="00FC2F91"/>
    <w:rsid w:val="00FD5E1E"/>
    <w:rsid w:val="00FE1A51"/>
    <w:rsid w:val="00FF1661"/>
    <w:rsid w:val="00FF3ED0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F00D"/>
  <w15:docId w15:val="{A2B1D8F0-6757-40FD-8BB0-7EEF8BC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107"/>
    <w:pPr>
      <w:ind w:left="720"/>
      <w:contextualSpacing/>
    </w:pPr>
  </w:style>
  <w:style w:type="paragraph" w:customStyle="1" w:styleId="Default">
    <w:name w:val="Default"/>
    <w:rsid w:val="00D27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edList">
    <w:name w:val="Bulleted List"/>
    <w:basedOn w:val="Normal"/>
    <w:link w:val="BulletedListChar"/>
    <w:qFormat/>
    <w:rsid w:val="00793A25"/>
    <w:pPr>
      <w:numPr>
        <w:numId w:val="1"/>
      </w:numPr>
      <w:spacing w:before="60" w:after="20" w:line="240" w:lineRule="auto"/>
    </w:pPr>
    <w:rPr>
      <w:rFonts w:eastAsia="Calibri" w:cs="Times New Roman"/>
      <w:color w:val="262626"/>
      <w:sz w:val="20"/>
    </w:rPr>
  </w:style>
  <w:style w:type="character" w:customStyle="1" w:styleId="BulletedListChar">
    <w:name w:val="Bulleted List Char"/>
    <w:basedOn w:val="DefaultParagraphFont"/>
    <w:link w:val="BulletedList"/>
    <w:rsid w:val="00793A25"/>
    <w:rPr>
      <w:rFonts w:eastAsia="Calibri" w:cs="Times New Roman"/>
      <w:color w:val="26262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C4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A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A4E"/>
    <w:rPr>
      <w:b/>
      <w:bCs/>
      <w:sz w:val="20"/>
      <w:szCs w:val="20"/>
    </w:rPr>
  </w:style>
  <w:style w:type="paragraph" w:styleId="NoSpacing">
    <w:name w:val="No Spacing"/>
    <w:uiPriority w:val="1"/>
    <w:qFormat/>
    <w:rsid w:val="00D13D31"/>
    <w:pPr>
      <w:spacing w:after="0" w:line="240" w:lineRule="auto"/>
    </w:pPr>
    <w:rPr>
      <w:rFonts w:ascii="Century Gothic" w:eastAsia="Times New Roman" w:hAnsi="Century Gothic" w:cs="Times New Roman"/>
      <w:szCs w:val="20"/>
      <w:lang w:eastAsia="en-GB"/>
    </w:rPr>
  </w:style>
  <w:style w:type="paragraph" w:styleId="Revision">
    <w:name w:val="Revision"/>
    <w:hidden/>
    <w:uiPriority w:val="99"/>
    <w:semiHidden/>
    <w:rsid w:val="00827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21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3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1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4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9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3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8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81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0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8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B66E-2B3A-4583-B958-6D703EB9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 Owned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Deansmith, Mark (AB Agri)</dc:creator>
  <cp:lastModifiedBy>Andy Porter (IS)</cp:lastModifiedBy>
  <cp:revision>84</cp:revision>
  <cp:lastPrinted>2016-08-25T15:05:00Z</cp:lastPrinted>
  <dcterms:created xsi:type="dcterms:W3CDTF">2025-03-12T08:44:00Z</dcterms:created>
  <dcterms:modified xsi:type="dcterms:W3CDTF">2025-03-19T14:54:00Z</dcterms:modified>
</cp:coreProperties>
</file>