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3D4D" w14:textId="77777777" w:rsidR="000C30B4" w:rsidRPr="00134833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Pr="00134833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Pr="00134833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134833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134833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134833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134833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134833" w:rsidRPr="00134833" w14:paraId="4BF2D7C0" w14:textId="77777777" w:rsidTr="00077587">
        <w:tc>
          <w:tcPr>
            <w:tcW w:w="2548" w:type="dxa"/>
          </w:tcPr>
          <w:p w14:paraId="34421115" w14:textId="77777777" w:rsidR="00D451E0" w:rsidRPr="00134833" w:rsidRDefault="00D451E0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134833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6A2AC3F6" w:rsidR="00D451E0" w:rsidRPr="00134833" w:rsidRDefault="00406856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 w:rsidRPr="00134833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Account</w:t>
            </w:r>
            <w:r w:rsidR="00523710" w:rsidRPr="00134833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 Manager – </w:t>
            </w:r>
            <w:r w:rsidR="0038384D" w:rsidRPr="00134833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P</w:t>
            </w:r>
            <w:r w:rsidR="00AA4AB8" w:rsidRPr="00134833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oultry</w:t>
            </w:r>
            <w:r w:rsidR="0038384D" w:rsidRPr="00134833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 Feed</w:t>
            </w:r>
          </w:p>
        </w:tc>
      </w:tr>
      <w:tr w:rsidR="00134833" w:rsidRPr="00134833" w14:paraId="2074AB57" w14:textId="77777777" w:rsidTr="00077587">
        <w:tc>
          <w:tcPr>
            <w:tcW w:w="2548" w:type="dxa"/>
          </w:tcPr>
          <w:p w14:paraId="3E4BBB57" w14:textId="77777777" w:rsidR="00E12102" w:rsidRPr="00134833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134833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1AC7697C" w:rsidR="00E12102" w:rsidRPr="00134833" w:rsidRDefault="00AA4AB8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 w:rsidRPr="00134833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Sales Manager </w:t>
            </w:r>
          </w:p>
        </w:tc>
      </w:tr>
      <w:tr w:rsidR="00134833" w:rsidRPr="00134833" w14:paraId="12659DC1" w14:textId="77777777" w:rsidTr="00077587">
        <w:tc>
          <w:tcPr>
            <w:tcW w:w="2548" w:type="dxa"/>
          </w:tcPr>
          <w:p w14:paraId="36DDFAA7" w14:textId="77777777" w:rsidR="00E12102" w:rsidRPr="00134833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134833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594867A6" w:rsidR="00E12102" w:rsidRPr="00134833" w:rsidRDefault="00C5301C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 w:rsidRPr="00134833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Home based</w:t>
            </w:r>
            <w:r w:rsidR="008A66C9" w:rsidRPr="00134833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 </w:t>
            </w:r>
            <w:r w:rsidR="00F5159F" w:rsidRPr="00134833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with travel </w:t>
            </w:r>
          </w:p>
        </w:tc>
      </w:tr>
      <w:tr w:rsidR="00134833" w:rsidRPr="00134833" w14:paraId="519475EB" w14:textId="77777777" w:rsidTr="00077587">
        <w:tc>
          <w:tcPr>
            <w:tcW w:w="2548" w:type="dxa"/>
          </w:tcPr>
          <w:p w14:paraId="09962585" w14:textId="382D8F37" w:rsidR="00E12102" w:rsidRPr="00134833" w:rsidRDefault="00E12102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134833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79893572" w:rsidR="00E12102" w:rsidRPr="00134833" w:rsidRDefault="00AA4878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 w:rsidRPr="00134833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Reports to </w:t>
            </w:r>
            <w:r w:rsidR="00AA4AB8" w:rsidRPr="00134833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Sales Manager </w:t>
            </w:r>
          </w:p>
        </w:tc>
      </w:tr>
      <w:tr w:rsidR="00134833" w:rsidRPr="00134833" w14:paraId="2CBCFB81" w14:textId="77777777" w:rsidTr="00077587">
        <w:tc>
          <w:tcPr>
            <w:tcW w:w="2548" w:type="dxa"/>
          </w:tcPr>
          <w:p w14:paraId="3C3315E7" w14:textId="715526A7" w:rsidR="00B553D6" w:rsidRPr="00134833" w:rsidRDefault="008F33DF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134833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0EDC1923" w14:textId="57C47736" w:rsidR="00523710" w:rsidRPr="00134833" w:rsidRDefault="00F14821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M</w:t>
            </w:r>
            <w:r w:rsidR="008F0673" w:rsidRPr="00134833">
              <w:rPr>
                <w:rFonts w:ascii="Avenir Next LT Pro" w:hAnsi="Avenir Next LT Pro"/>
                <w:sz w:val="24"/>
                <w:szCs w:val="24"/>
              </w:rPr>
              <w:t>aintain</w:t>
            </w:r>
            <w:r w:rsidR="00E95BC2" w:rsidRPr="00134833">
              <w:rPr>
                <w:rFonts w:ascii="Avenir Next LT Pro" w:hAnsi="Avenir Next LT Pro"/>
                <w:sz w:val="24"/>
                <w:szCs w:val="24"/>
              </w:rPr>
              <w:t xml:space="preserve"> relationships with existing customers</w:t>
            </w:r>
            <w:r w:rsidR="003C0727" w:rsidRPr="00134833">
              <w:rPr>
                <w:rFonts w:ascii="Avenir Next LT Pro" w:hAnsi="Avenir Next LT Pro"/>
                <w:sz w:val="24"/>
                <w:szCs w:val="24"/>
              </w:rPr>
              <w:t>,</w:t>
            </w:r>
            <w:r w:rsidR="00683737" w:rsidRPr="0013483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3C0727" w:rsidRPr="00134833">
              <w:rPr>
                <w:rFonts w:ascii="Avenir Next LT Pro" w:hAnsi="Avenir Next LT Pro"/>
                <w:sz w:val="24"/>
                <w:szCs w:val="24"/>
              </w:rPr>
              <w:t>identify and capitalise on opportunities to grow</w:t>
            </w:r>
            <w:r w:rsidR="00683737" w:rsidRPr="0013483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4B7B2E" w:rsidRPr="00134833">
              <w:rPr>
                <w:rFonts w:ascii="Avenir Next LT Pro" w:hAnsi="Avenir Next LT Pro"/>
                <w:sz w:val="24"/>
                <w:szCs w:val="24"/>
              </w:rPr>
              <w:t>volume</w:t>
            </w:r>
            <w:r w:rsidR="003A1559" w:rsidRPr="00134833">
              <w:rPr>
                <w:rFonts w:ascii="Avenir Next LT Pro" w:hAnsi="Avenir Next LT Pro"/>
                <w:sz w:val="24"/>
                <w:szCs w:val="24"/>
              </w:rPr>
              <w:t xml:space="preserve"> share</w:t>
            </w:r>
            <w:r w:rsidR="00683737" w:rsidRPr="00134833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  <w:r w:rsidR="004B7B2E" w:rsidRPr="00134833">
              <w:rPr>
                <w:rFonts w:ascii="Avenir Next LT Pro" w:hAnsi="Avenir Next LT Pro"/>
                <w:sz w:val="24"/>
                <w:szCs w:val="24"/>
              </w:rPr>
              <w:t>D</w:t>
            </w:r>
            <w:r w:rsidR="008F0673" w:rsidRPr="00134833">
              <w:rPr>
                <w:rFonts w:ascii="Avenir Next LT Pro" w:hAnsi="Avenir Next LT Pro"/>
                <w:sz w:val="24"/>
                <w:szCs w:val="24"/>
              </w:rPr>
              <w:t xml:space="preserve">evelop </w:t>
            </w:r>
            <w:r w:rsidR="003A1559" w:rsidRPr="00134833">
              <w:rPr>
                <w:rFonts w:ascii="Avenir Next LT Pro" w:hAnsi="Avenir Next LT Pro"/>
                <w:sz w:val="24"/>
                <w:szCs w:val="24"/>
              </w:rPr>
              <w:t xml:space="preserve">new </w:t>
            </w:r>
            <w:r w:rsidR="003E0CA7" w:rsidRPr="00134833">
              <w:rPr>
                <w:rFonts w:ascii="Avenir Next LT Pro" w:hAnsi="Avenir Next LT Pro"/>
                <w:sz w:val="24"/>
                <w:szCs w:val="24"/>
              </w:rPr>
              <w:t xml:space="preserve">business within the </w:t>
            </w:r>
            <w:r w:rsidR="00AD6710" w:rsidRPr="00134833">
              <w:rPr>
                <w:rFonts w:ascii="Avenir Next LT Pro" w:hAnsi="Avenir Next LT Pro"/>
                <w:sz w:val="24"/>
                <w:szCs w:val="24"/>
              </w:rPr>
              <w:t xml:space="preserve">UK </w:t>
            </w:r>
            <w:r w:rsidR="00E95BC2" w:rsidRPr="00134833">
              <w:rPr>
                <w:rFonts w:ascii="Avenir Next LT Pro" w:hAnsi="Avenir Next LT Pro"/>
                <w:sz w:val="24"/>
                <w:szCs w:val="24"/>
              </w:rPr>
              <w:t>p</w:t>
            </w:r>
            <w:r w:rsidR="00F13925" w:rsidRPr="00134833">
              <w:rPr>
                <w:rFonts w:ascii="Avenir Next LT Pro" w:hAnsi="Avenir Next LT Pro"/>
                <w:sz w:val="24"/>
                <w:szCs w:val="24"/>
              </w:rPr>
              <w:t>oultry</w:t>
            </w:r>
            <w:r w:rsidR="00E95BC2" w:rsidRPr="00134833">
              <w:rPr>
                <w:rFonts w:ascii="Avenir Next LT Pro" w:hAnsi="Avenir Next LT Pro"/>
                <w:sz w:val="24"/>
                <w:szCs w:val="24"/>
              </w:rPr>
              <w:t xml:space="preserve"> industry</w:t>
            </w:r>
            <w:r w:rsidR="004B7B2E" w:rsidRPr="00134833">
              <w:rPr>
                <w:rFonts w:ascii="Avenir Next LT Pro" w:hAnsi="Avenir Next LT Pro"/>
                <w:sz w:val="24"/>
                <w:szCs w:val="24"/>
              </w:rPr>
              <w:t>,</w:t>
            </w:r>
            <w:r w:rsidR="00053DA6" w:rsidRPr="0013483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4B7B2E" w:rsidRPr="00134833">
              <w:rPr>
                <w:rFonts w:ascii="Avenir Next LT Pro" w:hAnsi="Avenir Next LT Pro"/>
                <w:sz w:val="24"/>
                <w:szCs w:val="24"/>
              </w:rPr>
              <w:t xml:space="preserve">emphasis on UK </w:t>
            </w:r>
            <w:r w:rsidR="00053DA6" w:rsidRPr="00134833">
              <w:rPr>
                <w:rFonts w:ascii="Avenir Next LT Pro" w:hAnsi="Avenir Next LT Pro"/>
                <w:sz w:val="24"/>
                <w:szCs w:val="24"/>
              </w:rPr>
              <w:t>Layer</w:t>
            </w:r>
            <w:r w:rsidR="004B7B2E" w:rsidRPr="00134833">
              <w:rPr>
                <w:rFonts w:ascii="Avenir Next LT Pro" w:hAnsi="Avenir Next LT Pro"/>
                <w:sz w:val="24"/>
                <w:szCs w:val="24"/>
              </w:rPr>
              <w:t xml:space="preserve"> sector</w:t>
            </w:r>
            <w:r w:rsidR="00CE4BA3" w:rsidRPr="00134833">
              <w:rPr>
                <w:rFonts w:ascii="Avenir Next LT Pro" w:hAnsi="Avenir Next LT Pro"/>
                <w:sz w:val="24"/>
                <w:szCs w:val="24"/>
              </w:rPr>
              <w:t>. You will add value to both ABN and our p</w:t>
            </w:r>
            <w:r w:rsidR="00F13925" w:rsidRPr="00134833">
              <w:rPr>
                <w:rFonts w:ascii="Avenir Next LT Pro" w:hAnsi="Avenir Next LT Pro"/>
                <w:sz w:val="24"/>
                <w:szCs w:val="24"/>
              </w:rPr>
              <w:t>oultry</w:t>
            </w:r>
            <w:r w:rsidR="00CE4BA3" w:rsidRPr="00134833">
              <w:rPr>
                <w:rFonts w:ascii="Avenir Next LT Pro" w:hAnsi="Avenir Next LT Pro"/>
                <w:sz w:val="24"/>
                <w:szCs w:val="24"/>
              </w:rPr>
              <w:t xml:space="preserve"> customers</w:t>
            </w:r>
            <w:r w:rsidR="004D73BF" w:rsidRPr="00134833">
              <w:rPr>
                <w:rFonts w:ascii="Avenir Next LT Pro" w:hAnsi="Avenir Next LT Pro"/>
                <w:sz w:val="24"/>
                <w:szCs w:val="24"/>
              </w:rPr>
              <w:t xml:space="preserve"> ensuring that they </w:t>
            </w:r>
            <w:r w:rsidR="00D14DC7" w:rsidRPr="00134833">
              <w:rPr>
                <w:rFonts w:ascii="Avenir Next LT Pro" w:hAnsi="Avenir Next LT Pro"/>
                <w:sz w:val="24"/>
                <w:szCs w:val="24"/>
              </w:rPr>
              <w:t>receive cost</w:t>
            </w:r>
            <w:r w:rsidR="003D6A7A" w:rsidRPr="00134833">
              <w:rPr>
                <w:rFonts w:ascii="Avenir Next LT Pro" w:hAnsi="Avenir Next LT Pro"/>
                <w:sz w:val="24"/>
                <w:szCs w:val="24"/>
              </w:rPr>
              <w:t xml:space="preserve"> effective</w:t>
            </w:r>
            <w:r w:rsidR="005E6DF9" w:rsidRPr="00134833">
              <w:rPr>
                <w:rFonts w:ascii="Avenir Next LT Pro" w:hAnsi="Avenir Next LT Pro"/>
                <w:sz w:val="24"/>
                <w:szCs w:val="24"/>
              </w:rPr>
              <w:t xml:space="preserve"> and</w:t>
            </w:r>
            <w:r w:rsidR="003D6A7A" w:rsidRPr="0013483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31475B" w:rsidRPr="00134833">
              <w:rPr>
                <w:rFonts w:ascii="Avenir Next LT Pro" w:hAnsi="Avenir Next LT Pro"/>
                <w:sz w:val="24"/>
                <w:szCs w:val="24"/>
              </w:rPr>
              <w:t xml:space="preserve">effective </w:t>
            </w:r>
            <w:r w:rsidR="003D6A7A" w:rsidRPr="00134833">
              <w:rPr>
                <w:rFonts w:ascii="Avenir Next LT Pro" w:hAnsi="Avenir Next LT Pro"/>
                <w:sz w:val="24"/>
                <w:szCs w:val="24"/>
              </w:rPr>
              <w:t>feeding solutions</w:t>
            </w:r>
            <w:r w:rsidR="005E6DF9" w:rsidRPr="00134833">
              <w:rPr>
                <w:rFonts w:ascii="Avenir Next LT Pro" w:hAnsi="Avenir Next LT Pro"/>
                <w:sz w:val="24"/>
                <w:szCs w:val="24"/>
              </w:rPr>
              <w:t>.</w:t>
            </w:r>
          </w:p>
        </w:tc>
      </w:tr>
      <w:tr w:rsidR="00134833" w:rsidRPr="00134833" w14:paraId="7F3D92A7" w14:textId="77777777" w:rsidTr="00077587">
        <w:tc>
          <w:tcPr>
            <w:tcW w:w="2548" w:type="dxa"/>
          </w:tcPr>
          <w:p w14:paraId="477CA338" w14:textId="0C631BA4" w:rsidR="00E12102" w:rsidRPr="00134833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134833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Key Responsibilities:</w:t>
            </w:r>
            <w:r w:rsidR="003B7128" w:rsidRPr="00134833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51FA6B00" w14:textId="0F6F3DEA" w:rsidR="00D82CD5" w:rsidRPr="00134833" w:rsidRDefault="007E70B7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You will</w:t>
            </w:r>
            <w:r w:rsidR="00C3631F" w:rsidRPr="0013483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43565A" w:rsidRPr="00134833">
              <w:rPr>
                <w:rFonts w:ascii="Avenir Next LT Pro" w:hAnsi="Avenir Next LT Pro"/>
                <w:sz w:val="24"/>
                <w:szCs w:val="24"/>
              </w:rPr>
              <w:t xml:space="preserve">manage </w:t>
            </w:r>
            <w:r w:rsidR="00123809" w:rsidRPr="00134833">
              <w:rPr>
                <w:rFonts w:ascii="Avenir Next LT Pro" w:hAnsi="Avenir Next LT Pro"/>
                <w:sz w:val="24"/>
                <w:szCs w:val="24"/>
              </w:rPr>
              <w:t>working relationships with</w:t>
            </w:r>
            <w:r w:rsidR="005728B1" w:rsidRPr="0013483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5C027A" w:rsidRPr="00134833">
              <w:rPr>
                <w:rFonts w:ascii="Avenir Next LT Pro" w:hAnsi="Avenir Next LT Pro"/>
                <w:sz w:val="24"/>
                <w:szCs w:val="24"/>
              </w:rPr>
              <w:t>business owners</w:t>
            </w:r>
            <w:r w:rsidR="009E154F" w:rsidRPr="00134833">
              <w:rPr>
                <w:rFonts w:ascii="Avenir Next LT Pro" w:hAnsi="Avenir Next LT Pro"/>
                <w:sz w:val="24"/>
                <w:szCs w:val="24"/>
              </w:rPr>
              <w:t xml:space="preserve">, </w:t>
            </w:r>
            <w:r w:rsidR="003345B0" w:rsidRPr="00134833">
              <w:rPr>
                <w:rFonts w:ascii="Avenir Next LT Pro" w:hAnsi="Avenir Next LT Pro"/>
                <w:sz w:val="24"/>
                <w:szCs w:val="24"/>
              </w:rPr>
              <w:t xml:space="preserve">senior company managers, </w:t>
            </w:r>
            <w:r w:rsidR="009E154F" w:rsidRPr="00134833">
              <w:rPr>
                <w:rFonts w:ascii="Avenir Next LT Pro" w:hAnsi="Avenir Next LT Pro"/>
                <w:sz w:val="24"/>
                <w:szCs w:val="24"/>
              </w:rPr>
              <w:t>area,</w:t>
            </w:r>
            <w:r w:rsidR="005C027A" w:rsidRPr="00134833">
              <w:rPr>
                <w:rFonts w:ascii="Avenir Next LT Pro" w:hAnsi="Avenir Next LT Pro"/>
                <w:sz w:val="24"/>
                <w:szCs w:val="24"/>
              </w:rPr>
              <w:t xml:space="preserve"> and farm managers</w:t>
            </w:r>
            <w:r w:rsidR="001342D2" w:rsidRPr="00134833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D82CD5" w:rsidRPr="00134833">
              <w:rPr>
                <w:rFonts w:ascii="Avenir Next LT Pro" w:hAnsi="Avenir Next LT Pro"/>
                <w:sz w:val="24"/>
                <w:szCs w:val="24"/>
              </w:rPr>
              <w:t xml:space="preserve"> Being </w:t>
            </w:r>
            <w:r w:rsidR="005A25B5" w:rsidRPr="00134833">
              <w:rPr>
                <w:rFonts w:ascii="Avenir Next LT Pro" w:hAnsi="Avenir Next LT Pro"/>
                <w:sz w:val="24"/>
                <w:szCs w:val="24"/>
              </w:rPr>
              <w:t xml:space="preserve">a </w:t>
            </w:r>
            <w:r w:rsidR="00D82CD5" w:rsidRPr="00134833">
              <w:rPr>
                <w:rFonts w:ascii="Avenir Next LT Pro" w:hAnsi="Avenir Next LT Pro"/>
                <w:sz w:val="24"/>
                <w:szCs w:val="24"/>
              </w:rPr>
              <w:t>multi-level communicator.</w:t>
            </w:r>
            <w:r w:rsidR="001342D2" w:rsidRPr="0013483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  <w:p w14:paraId="3A233205" w14:textId="4135F3F0" w:rsidR="00E12102" w:rsidRPr="00134833" w:rsidRDefault="001342D2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E</w:t>
            </w:r>
            <w:r w:rsidR="00B015BB" w:rsidRPr="00134833">
              <w:rPr>
                <w:rFonts w:ascii="Avenir Next LT Pro" w:hAnsi="Avenir Next LT Pro"/>
                <w:sz w:val="24"/>
                <w:szCs w:val="24"/>
              </w:rPr>
              <w:t>nsur</w:t>
            </w:r>
            <w:r w:rsidR="00D82CD5" w:rsidRPr="00134833">
              <w:rPr>
                <w:rFonts w:ascii="Avenir Next LT Pro" w:hAnsi="Avenir Next LT Pro"/>
                <w:sz w:val="24"/>
                <w:szCs w:val="24"/>
              </w:rPr>
              <w:t xml:space="preserve">e </w:t>
            </w:r>
            <w:r w:rsidR="00E72E73" w:rsidRPr="00134833">
              <w:rPr>
                <w:rFonts w:ascii="Avenir Next LT Pro" w:hAnsi="Avenir Next LT Pro"/>
                <w:sz w:val="24"/>
                <w:szCs w:val="24"/>
              </w:rPr>
              <w:t>all processes from</w:t>
            </w:r>
            <w:r w:rsidR="00B015BB" w:rsidRPr="00134833">
              <w:rPr>
                <w:rFonts w:ascii="Avenir Next LT Pro" w:hAnsi="Avenir Next LT Pro"/>
                <w:sz w:val="24"/>
                <w:szCs w:val="24"/>
              </w:rPr>
              <w:t xml:space="preserve"> feed order </w:t>
            </w:r>
            <w:r w:rsidR="00E72E73" w:rsidRPr="00134833">
              <w:rPr>
                <w:rFonts w:ascii="Avenir Next LT Pro" w:hAnsi="Avenir Next LT Pro"/>
                <w:sz w:val="24"/>
                <w:szCs w:val="24"/>
              </w:rPr>
              <w:t>through to delivery and on farm performance</w:t>
            </w:r>
            <w:r w:rsidR="00A957AF" w:rsidRPr="00134833">
              <w:rPr>
                <w:rFonts w:ascii="Avenir Next LT Pro" w:hAnsi="Avenir Next LT Pro"/>
                <w:sz w:val="24"/>
                <w:szCs w:val="24"/>
              </w:rPr>
              <w:t xml:space="preserve"> KPIs</w:t>
            </w:r>
            <w:r w:rsidR="00E72E73" w:rsidRPr="0013483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B015BB" w:rsidRPr="00134833">
              <w:rPr>
                <w:rFonts w:ascii="Avenir Next LT Pro" w:hAnsi="Avenir Next LT Pro"/>
                <w:sz w:val="24"/>
                <w:szCs w:val="24"/>
              </w:rPr>
              <w:t>are fulfi</w:t>
            </w:r>
            <w:r w:rsidR="00E72E73" w:rsidRPr="00134833">
              <w:rPr>
                <w:rFonts w:ascii="Avenir Next LT Pro" w:hAnsi="Avenir Next LT Pro"/>
                <w:sz w:val="24"/>
                <w:szCs w:val="24"/>
              </w:rPr>
              <w:t xml:space="preserve">lled </w:t>
            </w:r>
            <w:r w:rsidR="00677007" w:rsidRPr="00134833">
              <w:rPr>
                <w:rFonts w:ascii="Avenir Next LT Pro" w:hAnsi="Avenir Next LT Pro"/>
                <w:sz w:val="24"/>
                <w:szCs w:val="24"/>
              </w:rPr>
              <w:t>and in line with standards</w:t>
            </w:r>
            <w:r w:rsidR="00835D18" w:rsidRPr="00134833">
              <w:rPr>
                <w:rFonts w:ascii="Avenir Next LT Pro" w:hAnsi="Avenir Next LT Pro"/>
                <w:sz w:val="24"/>
                <w:szCs w:val="24"/>
              </w:rPr>
              <w:t xml:space="preserve"> and customer expectations</w:t>
            </w:r>
            <w:r w:rsidR="00677007" w:rsidRPr="00134833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</w:p>
          <w:p w14:paraId="07820D0F" w14:textId="77777777" w:rsidR="002A788B" w:rsidRPr="00134833" w:rsidRDefault="002A788B" w:rsidP="002A788B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Accurate forecasting with a clear understanding for reasons for any deviations. </w:t>
            </w:r>
          </w:p>
          <w:p w14:paraId="5402EA20" w14:textId="684BB6BB" w:rsidR="002A788B" w:rsidRPr="00134833" w:rsidRDefault="00C70603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Customer c</w:t>
            </w:r>
            <w:r w:rsidR="001367F2" w:rsidRPr="00134833">
              <w:rPr>
                <w:rFonts w:ascii="Avenir Next LT Pro" w:hAnsi="Avenir Next LT Pro"/>
                <w:sz w:val="24"/>
                <w:szCs w:val="24"/>
              </w:rPr>
              <w:t>redit limit assessment</w:t>
            </w:r>
            <w:r w:rsidR="00BD4520" w:rsidRPr="00134833">
              <w:rPr>
                <w:rFonts w:ascii="Avenir Next LT Pro" w:hAnsi="Avenir Next LT Pro"/>
                <w:sz w:val="24"/>
                <w:szCs w:val="24"/>
              </w:rPr>
              <w:t>s leading to correct levels of exposure and debtor days</w:t>
            </w: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 that the business agrees to operate within. </w:t>
            </w:r>
          </w:p>
          <w:p w14:paraId="0D65B1AC" w14:textId="6A716E07" w:rsidR="00F35777" w:rsidRPr="00134833" w:rsidRDefault="00F35777" w:rsidP="00F35777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Be responsible for pricing and account profitability. </w:t>
            </w:r>
          </w:p>
          <w:p w14:paraId="4CC76685" w14:textId="5151484C" w:rsidR="00532483" w:rsidRPr="00134833" w:rsidRDefault="00481BD4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Develop </w:t>
            </w:r>
            <w:r w:rsidR="00835D18" w:rsidRPr="00134833">
              <w:rPr>
                <w:rFonts w:ascii="Avenir Next LT Pro" w:hAnsi="Avenir Next LT Pro"/>
                <w:sz w:val="24"/>
                <w:szCs w:val="24"/>
              </w:rPr>
              <w:t>personal sales</w:t>
            </w: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 strategy within trading environment</w:t>
            </w:r>
            <w:r w:rsidR="00835D18" w:rsidRPr="00134833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740583" w:rsidRPr="0013483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C701BD" w:rsidRPr="00134833">
              <w:rPr>
                <w:rFonts w:ascii="Avenir Next LT Pro" w:hAnsi="Avenir Next LT Pro"/>
                <w:sz w:val="24"/>
                <w:szCs w:val="24"/>
              </w:rPr>
              <w:t>C</w:t>
            </w:r>
            <w:r w:rsidR="00740583" w:rsidRPr="00134833">
              <w:rPr>
                <w:rFonts w:ascii="Avenir Next LT Pro" w:hAnsi="Avenir Next LT Pro"/>
                <w:sz w:val="24"/>
                <w:szCs w:val="24"/>
              </w:rPr>
              <w:t>ommunica</w:t>
            </w:r>
            <w:r w:rsidR="006D2B6F" w:rsidRPr="00134833">
              <w:rPr>
                <w:rFonts w:ascii="Avenir Next LT Pro" w:hAnsi="Avenir Next LT Pro"/>
                <w:sz w:val="24"/>
                <w:szCs w:val="24"/>
              </w:rPr>
              <w:t>te</w:t>
            </w:r>
            <w:r w:rsidR="00C701BD" w:rsidRPr="00134833">
              <w:rPr>
                <w:rFonts w:ascii="Avenir Next LT Pro" w:hAnsi="Avenir Next LT Pro"/>
                <w:sz w:val="24"/>
                <w:szCs w:val="24"/>
              </w:rPr>
              <w:t xml:space="preserve"> opportunities</w:t>
            </w:r>
            <w:r w:rsidR="00F51EFF" w:rsidRPr="0013483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6D2B6F" w:rsidRPr="00134833">
              <w:rPr>
                <w:rFonts w:ascii="Avenir Next LT Pro" w:hAnsi="Avenir Next LT Pro"/>
                <w:sz w:val="24"/>
                <w:szCs w:val="24"/>
              </w:rPr>
              <w:t xml:space="preserve">and threats ahead of time to allow sufficient </w:t>
            </w:r>
            <w:r w:rsidR="00790C62" w:rsidRPr="00134833">
              <w:rPr>
                <w:rFonts w:ascii="Avenir Next LT Pro" w:hAnsi="Avenir Next LT Pro"/>
                <w:sz w:val="24"/>
                <w:szCs w:val="24"/>
              </w:rPr>
              <w:t xml:space="preserve">help and support from cross functional colleagues. </w:t>
            </w:r>
          </w:p>
          <w:p w14:paraId="42F16A40" w14:textId="32BE29CA" w:rsidR="00F51EFF" w:rsidRPr="00134833" w:rsidRDefault="009518E8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Manage own time effectively and be able to prioritise business and customer needs</w:t>
            </w:r>
            <w:r w:rsidR="00965EBE" w:rsidRPr="00134833">
              <w:rPr>
                <w:rFonts w:ascii="Avenir Next LT Pro" w:hAnsi="Avenir Next LT Pro"/>
                <w:sz w:val="24"/>
                <w:szCs w:val="24"/>
              </w:rPr>
              <w:t xml:space="preserve"> on daily basis.</w:t>
            </w:r>
          </w:p>
          <w:p w14:paraId="0C4B40BD" w14:textId="786940FB" w:rsidR="009518E8" w:rsidRPr="00134833" w:rsidRDefault="00EE35A9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Provide a general or advanced level of technical support and </w:t>
            </w:r>
            <w:r w:rsidR="000033BB" w:rsidRPr="00134833">
              <w:rPr>
                <w:rFonts w:ascii="Avenir Next LT Pro" w:hAnsi="Avenir Next LT Pro"/>
                <w:sz w:val="24"/>
                <w:szCs w:val="24"/>
              </w:rPr>
              <w:t xml:space="preserve">ensuring correct </w:t>
            </w: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product </w:t>
            </w:r>
            <w:r w:rsidR="000033BB" w:rsidRPr="00134833">
              <w:rPr>
                <w:rFonts w:ascii="Avenir Next LT Pro" w:hAnsi="Avenir Next LT Pro"/>
                <w:sz w:val="24"/>
                <w:szCs w:val="24"/>
              </w:rPr>
              <w:t>and feed additive application.</w:t>
            </w:r>
          </w:p>
          <w:p w14:paraId="7E933200" w14:textId="7C64BB8E" w:rsidR="000033BB" w:rsidRPr="00134833" w:rsidRDefault="00096167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Active participation </w:t>
            </w:r>
            <w:r w:rsidR="0042148A" w:rsidRPr="00134833">
              <w:rPr>
                <w:rFonts w:ascii="Avenir Next LT Pro" w:hAnsi="Avenir Next LT Pro"/>
                <w:sz w:val="24"/>
                <w:szCs w:val="24"/>
              </w:rPr>
              <w:t>within internal</w:t>
            </w: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 group and team </w:t>
            </w:r>
            <w:r w:rsidR="002D523D" w:rsidRPr="00134833">
              <w:rPr>
                <w:rFonts w:ascii="Avenir Next LT Pro" w:hAnsi="Avenir Next LT Pro"/>
                <w:sz w:val="24"/>
                <w:szCs w:val="24"/>
              </w:rPr>
              <w:t>forums</w:t>
            </w: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 to ensure </w:t>
            </w:r>
            <w:r w:rsidR="00E041B8" w:rsidRPr="00134833">
              <w:rPr>
                <w:rFonts w:ascii="Avenir Next LT Pro" w:hAnsi="Avenir Next LT Pro"/>
                <w:sz w:val="24"/>
                <w:szCs w:val="24"/>
              </w:rPr>
              <w:t xml:space="preserve">communication, </w:t>
            </w:r>
            <w:r w:rsidR="00D92C92" w:rsidRPr="00134833">
              <w:rPr>
                <w:rFonts w:ascii="Avenir Next LT Pro" w:hAnsi="Avenir Next LT Pro"/>
                <w:sz w:val="24"/>
                <w:szCs w:val="24"/>
              </w:rPr>
              <w:t>co-ordination,</w:t>
            </w:r>
            <w:r w:rsidR="00E041B8" w:rsidRPr="00134833">
              <w:rPr>
                <w:rFonts w:ascii="Avenir Next LT Pro" w:hAnsi="Avenir Next LT Pro"/>
                <w:sz w:val="24"/>
                <w:szCs w:val="24"/>
              </w:rPr>
              <w:t xml:space="preserve"> and alignment against wider business strategy. </w:t>
            </w:r>
          </w:p>
          <w:p w14:paraId="7F0AB1AC" w14:textId="445713A0" w:rsidR="00F51EFF" w:rsidRPr="00134833" w:rsidRDefault="00137382" w:rsidP="00A44470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Demonstrate </w:t>
            </w:r>
            <w:r w:rsidR="000C06EA" w:rsidRPr="00134833">
              <w:rPr>
                <w:rFonts w:ascii="Avenir Next LT Pro" w:hAnsi="Avenir Next LT Pro"/>
                <w:sz w:val="24"/>
                <w:szCs w:val="24"/>
              </w:rPr>
              <w:t>C</w:t>
            </w: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ommercial </w:t>
            </w:r>
            <w:r w:rsidR="000C06EA" w:rsidRPr="00134833">
              <w:rPr>
                <w:rFonts w:ascii="Avenir Next LT Pro" w:hAnsi="Avenir Next LT Pro"/>
                <w:sz w:val="24"/>
                <w:szCs w:val="24"/>
              </w:rPr>
              <w:t>A</w:t>
            </w:r>
            <w:r w:rsidRPr="00134833">
              <w:rPr>
                <w:rFonts w:ascii="Avenir Next LT Pro" w:hAnsi="Avenir Next LT Pro"/>
                <w:sz w:val="24"/>
                <w:szCs w:val="24"/>
              </w:rPr>
              <w:t>wareness via m</w:t>
            </w:r>
            <w:r w:rsidR="00D92C92" w:rsidRPr="00134833">
              <w:rPr>
                <w:rFonts w:ascii="Avenir Next LT Pro" w:hAnsi="Avenir Next LT Pro"/>
                <w:sz w:val="24"/>
                <w:szCs w:val="24"/>
              </w:rPr>
              <w:t>onitor</w:t>
            </w:r>
            <w:r w:rsidRPr="00134833">
              <w:rPr>
                <w:rFonts w:ascii="Avenir Next LT Pro" w:hAnsi="Avenir Next LT Pro"/>
                <w:sz w:val="24"/>
                <w:szCs w:val="24"/>
              </w:rPr>
              <w:t>ing</w:t>
            </w:r>
            <w:r w:rsidR="00C54DCB" w:rsidRPr="00134833">
              <w:rPr>
                <w:rFonts w:ascii="Avenir Next LT Pro" w:hAnsi="Avenir Next LT Pro"/>
                <w:sz w:val="24"/>
                <w:szCs w:val="24"/>
              </w:rPr>
              <w:t xml:space="preserve"> of</w:t>
            </w:r>
            <w:r w:rsidR="00D92C92" w:rsidRPr="0013483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AA4877" w:rsidRPr="00134833">
              <w:rPr>
                <w:rFonts w:ascii="Avenir Next LT Pro" w:hAnsi="Avenir Next LT Pro"/>
                <w:sz w:val="24"/>
                <w:szCs w:val="24"/>
              </w:rPr>
              <w:t xml:space="preserve">trends within </w:t>
            </w:r>
            <w:r w:rsidR="00D92C92" w:rsidRPr="00134833">
              <w:rPr>
                <w:rFonts w:ascii="Avenir Next LT Pro" w:hAnsi="Avenir Next LT Pro"/>
                <w:sz w:val="24"/>
                <w:szCs w:val="24"/>
              </w:rPr>
              <w:t>customer</w:t>
            </w:r>
            <w:r w:rsidR="00C54DCB" w:rsidRPr="00134833">
              <w:rPr>
                <w:rFonts w:ascii="Avenir Next LT Pro" w:hAnsi="Avenir Next LT Pro"/>
                <w:sz w:val="24"/>
                <w:szCs w:val="24"/>
              </w:rPr>
              <w:t xml:space="preserve"> / potential</w:t>
            </w:r>
            <w:r w:rsidR="00AA4877" w:rsidRPr="00134833">
              <w:rPr>
                <w:rFonts w:ascii="Avenir Next LT Pro" w:hAnsi="Avenir Next LT Pro"/>
                <w:sz w:val="24"/>
                <w:szCs w:val="24"/>
              </w:rPr>
              <w:t xml:space="preserve"> customer</w:t>
            </w:r>
            <w:r w:rsidR="00C5185E" w:rsidRPr="00134833">
              <w:rPr>
                <w:rFonts w:ascii="Avenir Next LT Pro" w:hAnsi="Avenir Next LT Pro"/>
                <w:sz w:val="24"/>
                <w:szCs w:val="24"/>
              </w:rPr>
              <w:t xml:space="preserve"> and competitor </w:t>
            </w:r>
            <w:r w:rsidR="00512F47" w:rsidRPr="00134833">
              <w:rPr>
                <w:rFonts w:ascii="Avenir Next LT Pro" w:hAnsi="Avenir Next LT Pro"/>
                <w:sz w:val="24"/>
                <w:szCs w:val="24"/>
              </w:rPr>
              <w:t>activities</w:t>
            </w:r>
            <w:r w:rsidR="00C5185E" w:rsidRPr="00134833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</w:p>
          <w:p w14:paraId="62D75324" w14:textId="2AC22541" w:rsidR="002E5499" w:rsidRPr="00134833" w:rsidRDefault="000B41CE" w:rsidP="002E5499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Be the </w:t>
            </w:r>
            <w:r w:rsidR="005D29B5" w:rsidRPr="00134833">
              <w:rPr>
                <w:rFonts w:ascii="Avenir Next LT Pro" w:hAnsi="Avenir Next LT Pro"/>
                <w:sz w:val="24"/>
                <w:szCs w:val="24"/>
              </w:rPr>
              <w:t xml:space="preserve">primary </w:t>
            </w: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interface between </w:t>
            </w:r>
            <w:r w:rsidR="005C5DB2" w:rsidRPr="00134833">
              <w:rPr>
                <w:rFonts w:ascii="Avenir Next LT Pro" w:hAnsi="Avenir Next LT Pro"/>
                <w:sz w:val="24"/>
                <w:szCs w:val="24"/>
              </w:rPr>
              <w:t xml:space="preserve">all </w:t>
            </w:r>
            <w:r w:rsidR="00E35F11" w:rsidRPr="00134833">
              <w:rPr>
                <w:rFonts w:ascii="Avenir Next LT Pro" w:hAnsi="Avenir Next LT Pro"/>
                <w:sz w:val="24"/>
                <w:szCs w:val="24"/>
              </w:rPr>
              <w:t>internal</w:t>
            </w:r>
            <w:r w:rsidR="005C5DB2" w:rsidRPr="00134833">
              <w:rPr>
                <w:rFonts w:ascii="Avenir Next LT Pro" w:hAnsi="Avenir Next LT Pro"/>
                <w:sz w:val="24"/>
                <w:szCs w:val="24"/>
              </w:rPr>
              <w:t xml:space="preserve"> teams such as operations, raw materials, technical and customer support</w:t>
            </w:r>
            <w:r w:rsidR="00032D8E" w:rsidRPr="0013483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032D8E" w:rsidRPr="00134833">
              <w:rPr>
                <w:rFonts w:ascii="Avenir Next LT Pro" w:hAnsi="Avenir Next LT Pro"/>
                <w:sz w:val="24"/>
                <w:szCs w:val="24"/>
              </w:rPr>
              <w:lastRenderedPageBreak/>
              <w:t xml:space="preserve">and when </w:t>
            </w:r>
            <w:r w:rsidR="00D13D7A" w:rsidRPr="00134833">
              <w:rPr>
                <w:rFonts w:ascii="Avenir Next LT Pro" w:hAnsi="Avenir Next LT Pro"/>
                <w:sz w:val="24"/>
                <w:szCs w:val="24"/>
              </w:rPr>
              <w:t>necessary,</w:t>
            </w:r>
            <w:r w:rsidR="00032D8E" w:rsidRPr="00134833">
              <w:rPr>
                <w:rFonts w:ascii="Avenir Next LT Pro" w:hAnsi="Avenir Next LT Pro"/>
                <w:sz w:val="24"/>
                <w:szCs w:val="24"/>
              </w:rPr>
              <w:t xml:space="preserve"> use </w:t>
            </w:r>
            <w:r w:rsidR="002D7B18" w:rsidRPr="00134833">
              <w:rPr>
                <w:rFonts w:ascii="Avenir Next LT Pro" w:hAnsi="Avenir Next LT Pro"/>
                <w:sz w:val="24"/>
                <w:szCs w:val="24"/>
              </w:rPr>
              <w:t xml:space="preserve">experience and negotiation skills to </w:t>
            </w:r>
            <w:r w:rsidR="009E63C1" w:rsidRPr="00134833">
              <w:rPr>
                <w:rFonts w:ascii="Avenir Next LT Pro" w:hAnsi="Avenir Next LT Pro"/>
                <w:sz w:val="24"/>
                <w:szCs w:val="24"/>
              </w:rPr>
              <w:t xml:space="preserve">find workable solutions when issues arise. </w:t>
            </w:r>
          </w:p>
          <w:p w14:paraId="5D8B6F57" w14:textId="0267A547" w:rsidR="00095573" w:rsidRPr="00134833" w:rsidRDefault="00095573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Clear account planning which includes involvement from relevant </w:t>
            </w:r>
            <w:r w:rsidR="00E54C27" w:rsidRPr="00134833">
              <w:rPr>
                <w:rFonts w:ascii="Avenir Next LT Pro" w:hAnsi="Avenir Next LT Pro"/>
                <w:sz w:val="24"/>
                <w:szCs w:val="24"/>
              </w:rPr>
              <w:t xml:space="preserve">departments to deliver on goals and actions. </w:t>
            </w:r>
          </w:p>
          <w:p w14:paraId="76B2066F" w14:textId="0EDEF47A" w:rsidR="00D13D7A" w:rsidRPr="00134833" w:rsidRDefault="00453CB9" w:rsidP="00134833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When required manage commercial projects, ensuring you can clearly </w:t>
            </w:r>
            <w:r w:rsidR="00341F5B" w:rsidRPr="00134833">
              <w:rPr>
                <w:rFonts w:ascii="Avenir Next LT Pro" w:hAnsi="Avenir Next LT Pro"/>
                <w:sz w:val="24"/>
                <w:szCs w:val="24"/>
              </w:rPr>
              <w:t xml:space="preserve">demonstrate completion and value added from the projects. </w:t>
            </w:r>
          </w:p>
          <w:p w14:paraId="4A2BA451" w14:textId="77777777" w:rsidR="008C6099" w:rsidRPr="00134833" w:rsidRDefault="003B5BB9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Proactively support the positive management of complaints to ensure that a resolution is reached by following internal procedures. </w:t>
            </w:r>
          </w:p>
          <w:p w14:paraId="6CAB7B84" w14:textId="396E3806" w:rsidR="008E1C4B" w:rsidRPr="00134833" w:rsidRDefault="008E1C4B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Responsible for a good relationship with our 3</w:t>
            </w:r>
            <w:r w:rsidRPr="00134833">
              <w:rPr>
                <w:rFonts w:ascii="Avenir Next LT Pro" w:hAnsi="Avenir Next LT Pro"/>
                <w:sz w:val="24"/>
                <w:szCs w:val="24"/>
                <w:vertAlign w:val="superscript"/>
              </w:rPr>
              <w:t>rd</w:t>
            </w: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 party nutritionist</w:t>
            </w:r>
            <w:r w:rsidR="00DF3583" w:rsidRPr="00134833">
              <w:rPr>
                <w:rFonts w:ascii="Avenir Next LT Pro" w:hAnsi="Avenir Next LT Pro"/>
                <w:sz w:val="24"/>
                <w:szCs w:val="24"/>
              </w:rPr>
              <w:t>s</w:t>
            </w: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 and manage the interface with the customer</w:t>
            </w:r>
            <w:r w:rsidR="006D7437" w:rsidRPr="00134833">
              <w:rPr>
                <w:rFonts w:ascii="Avenir Next LT Pro" w:hAnsi="Avenir Next LT Pro"/>
                <w:sz w:val="24"/>
                <w:szCs w:val="24"/>
              </w:rPr>
              <w:t xml:space="preserve"> and </w:t>
            </w:r>
            <w:r w:rsidR="00E2057F" w:rsidRPr="00134833">
              <w:rPr>
                <w:rFonts w:ascii="Avenir Next LT Pro" w:hAnsi="Avenir Next LT Pro"/>
                <w:sz w:val="24"/>
                <w:szCs w:val="24"/>
              </w:rPr>
              <w:t>formulations.</w:t>
            </w:r>
          </w:p>
          <w:p w14:paraId="1560B046" w14:textId="332FE2AB" w:rsidR="006D7437" w:rsidRPr="00134833" w:rsidRDefault="00FC1CB4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To ensure that </w:t>
            </w:r>
            <w:r w:rsidR="00A304EC" w:rsidRPr="00134833">
              <w:rPr>
                <w:rFonts w:ascii="Avenir Next LT Pro" w:hAnsi="Avenir Next LT Pro"/>
                <w:sz w:val="24"/>
                <w:szCs w:val="24"/>
              </w:rPr>
              <w:t xml:space="preserve">safety issues that are relevant to our point of delivery are </w:t>
            </w:r>
            <w:r w:rsidR="00561242" w:rsidRPr="00134833">
              <w:rPr>
                <w:rFonts w:ascii="Avenir Next LT Pro" w:hAnsi="Avenir Next LT Pro"/>
                <w:sz w:val="24"/>
                <w:szCs w:val="24"/>
              </w:rPr>
              <w:t xml:space="preserve">addressed with customers and resolved amicably and </w:t>
            </w:r>
            <w:r w:rsidR="00147B39" w:rsidRPr="00134833">
              <w:rPr>
                <w:rFonts w:ascii="Avenir Next LT Pro" w:hAnsi="Avenir Next LT Pro"/>
                <w:sz w:val="24"/>
                <w:szCs w:val="24"/>
              </w:rPr>
              <w:t>promptly</w:t>
            </w:r>
            <w:r w:rsidR="00726986" w:rsidRPr="00134833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</w:p>
          <w:p w14:paraId="50704CC2" w14:textId="4F178E6A" w:rsidR="00726986" w:rsidRPr="00134833" w:rsidRDefault="00726986" w:rsidP="00147B39">
            <w:pPr>
              <w:pStyle w:val="ListParagraph"/>
              <w:spacing w:before="40" w:after="40"/>
              <w:ind w:left="36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</w:tr>
      <w:tr w:rsidR="00134833" w:rsidRPr="00134833" w14:paraId="4F624AE0" w14:textId="77777777" w:rsidTr="00077587">
        <w:tc>
          <w:tcPr>
            <w:tcW w:w="2548" w:type="dxa"/>
          </w:tcPr>
          <w:p w14:paraId="5F5F8A04" w14:textId="69B887C3" w:rsidR="00D266DC" w:rsidRPr="00134833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134833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lastRenderedPageBreak/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29CE92B0" w:rsidR="00D266DC" w:rsidRPr="00134833" w:rsidRDefault="00147B39" w:rsidP="00B727C4">
            <w:pPr>
              <w:pStyle w:val="ListParagraph"/>
              <w:numPr>
                <w:ilvl w:val="0"/>
                <w:numId w:val="30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Volume and </w:t>
            </w:r>
            <w:r w:rsidR="00A566BF" w:rsidRPr="00134833">
              <w:rPr>
                <w:rFonts w:ascii="Avenir Next LT Pro" w:hAnsi="Avenir Next LT Pro"/>
                <w:sz w:val="24"/>
                <w:szCs w:val="24"/>
              </w:rPr>
              <w:t>profitability of your accounts including generation of new business</w:t>
            </w:r>
          </w:p>
        </w:tc>
      </w:tr>
    </w:tbl>
    <w:p w14:paraId="19D3F98E" w14:textId="2BBC0A79" w:rsidR="00CF55AB" w:rsidRPr="00134833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134833" w:rsidRPr="00134833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134833" w:rsidRDefault="00A12E4B" w:rsidP="00A12E4B">
            <w:pPr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134833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 xml:space="preserve">Person Profile/Knowledge </w:t>
            </w:r>
          </w:p>
          <w:p w14:paraId="70764BCB" w14:textId="77777777" w:rsidR="00A12E4B" w:rsidRPr="00134833" w:rsidRDefault="00A12E4B" w:rsidP="00A12E4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134833" w:rsidRPr="00134833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134833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134833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134833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134833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Desirable</w:t>
            </w:r>
          </w:p>
        </w:tc>
      </w:tr>
      <w:tr w:rsidR="00134833" w:rsidRPr="00134833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37921443" w14:textId="635F9683" w:rsidR="00A12E4B" w:rsidRPr="00134833" w:rsidRDefault="00BC2769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Proven experience of account management</w:t>
            </w:r>
          </w:p>
        </w:tc>
        <w:tc>
          <w:tcPr>
            <w:tcW w:w="4820" w:type="dxa"/>
            <w:shd w:val="clear" w:color="auto" w:fill="auto"/>
          </w:tcPr>
          <w:p w14:paraId="7A20300B" w14:textId="45AD9446" w:rsidR="00A12E4B" w:rsidRPr="00134833" w:rsidRDefault="003D73C4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Proven experience in a commercial position</w:t>
            </w:r>
          </w:p>
        </w:tc>
      </w:tr>
      <w:tr w:rsidR="00134833" w:rsidRPr="00134833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11F17D97" w14:textId="79A22AED" w:rsidR="00A12E4B" w:rsidRPr="00134833" w:rsidRDefault="00262924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Good knowledge of the agricultural industry with an understanding of monogastric key market drivers and competitor activity</w:t>
            </w:r>
          </w:p>
        </w:tc>
        <w:tc>
          <w:tcPr>
            <w:tcW w:w="4820" w:type="dxa"/>
            <w:shd w:val="clear" w:color="auto" w:fill="auto"/>
          </w:tcPr>
          <w:p w14:paraId="786BB9A8" w14:textId="5E390A06" w:rsidR="00A12E4B" w:rsidRPr="00134833" w:rsidRDefault="00992475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Expert in all aspects of pricing, credit, and forecasting</w:t>
            </w:r>
          </w:p>
        </w:tc>
      </w:tr>
      <w:tr w:rsidR="00134833" w:rsidRPr="00134833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3D24B10C" w14:textId="5527E8DE" w:rsidR="00A12E4B" w:rsidRPr="00134833" w:rsidRDefault="00E77C65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Understanding of UK monogastric production and the supply chains to the customer</w:t>
            </w:r>
          </w:p>
        </w:tc>
        <w:tc>
          <w:tcPr>
            <w:tcW w:w="4820" w:type="dxa"/>
            <w:shd w:val="clear" w:color="auto" w:fill="auto"/>
          </w:tcPr>
          <w:p w14:paraId="43A8DC32" w14:textId="5D760782" w:rsidR="00A12E4B" w:rsidRPr="00134833" w:rsidRDefault="001443B1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Fully competent in using AX</w:t>
            </w:r>
            <w:r w:rsidR="00E80774" w:rsidRPr="00134833">
              <w:rPr>
                <w:rFonts w:ascii="Avenir Next LT Pro" w:hAnsi="Avenir Next LT Pro"/>
                <w:sz w:val="24"/>
                <w:szCs w:val="24"/>
              </w:rPr>
              <w:t xml:space="preserve"> / </w:t>
            </w:r>
            <w:r w:rsidR="00A042BA" w:rsidRPr="00134833">
              <w:rPr>
                <w:rFonts w:ascii="Avenir Next LT Pro" w:hAnsi="Avenir Next LT Pro"/>
                <w:sz w:val="24"/>
                <w:szCs w:val="24"/>
              </w:rPr>
              <w:t>other business systems</w:t>
            </w:r>
          </w:p>
        </w:tc>
      </w:tr>
      <w:tr w:rsidR="00134833" w:rsidRPr="00134833" w14:paraId="2C1A1A0E" w14:textId="77777777" w:rsidTr="00F87D82">
        <w:tc>
          <w:tcPr>
            <w:tcW w:w="4820" w:type="dxa"/>
            <w:gridSpan w:val="2"/>
            <w:shd w:val="clear" w:color="auto" w:fill="auto"/>
          </w:tcPr>
          <w:p w14:paraId="64A42A7B" w14:textId="2DF65F2F" w:rsidR="00A12E4B" w:rsidRPr="00134833" w:rsidRDefault="002401B5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Understanding of how industry issues (welfare, economic, legislative etc) impact the customer</w:t>
            </w:r>
          </w:p>
        </w:tc>
        <w:tc>
          <w:tcPr>
            <w:tcW w:w="4820" w:type="dxa"/>
            <w:shd w:val="clear" w:color="auto" w:fill="auto"/>
          </w:tcPr>
          <w:p w14:paraId="08FEA55A" w14:textId="297A9B14" w:rsidR="00A12E4B" w:rsidRPr="00134833" w:rsidRDefault="00BD6430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Exposure to B2C and B2B business propositions</w:t>
            </w:r>
          </w:p>
        </w:tc>
      </w:tr>
      <w:tr w:rsidR="00134833" w:rsidRPr="00134833" w14:paraId="7677D210" w14:textId="77777777" w:rsidTr="00F87D82">
        <w:tc>
          <w:tcPr>
            <w:tcW w:w="4820" w:type="dxa"/>
            <w:gridSpan w:val="2"/>
            <w:shd w:val="clear" w:color="auto" w:fill="auto"/>
          </w:tcPr>
          <w:p w14:paraId="04273C60" w14:textId="3FF38960" w:rsidR="00E77C65" w:rsidRPr="00134833" w:rsidRDefault="0029050E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Solid experience of business planning and driving improvements in performance</w:t>
            </w:r>
          </w:p>
        </w:tc>
        <w:tc>
          <w:tcPr>
            <w:tcW w:w="4820" w:type="dxa"/>
            <w:shd w:val="clear" w:color="auto" w:fill="auto"/>
          </w:tcPr>
          <w:p w14:paraId="7043DCBA" w14:textId="4BA57D97" w:rsidR="00E77C65" w:rsidRPr="00134833" w:rsidRDefault="00667B3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Proven experience of using advanced negotiation techniques to build and manage sustainable trading partnerships</w:t>
            </w:r>
          </w:p>
        </w:tc>
      </w:tr>
      <w:tr w:rsidR="00134833" w:rsidRPr="00134833" w14:paraId="043E8911" w14:textId="77777777" w:rsidTr="00F87D82">
        <w:tc>
          <w:tcPr>
            <w:tcW w:w="4820" w:type="dxa"/>
            <w:gridSpan w:val="2"/>
            <w:shd w:val="clear" w:color="auto" w:fill="auto"/>
          </w:tcPr>
          <w:p w14:paraId="7D3C8155" w14:textId="45EE1293" w:rsidR="00E77C65" w:rsidRPr="00134833" w:rsidRDefault="00FA62D6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Demonstrable experience of forging effective communication networks</w:t>
            </w:r>
          </w:p>
        </w:tc>
        <w:tc>
          <w:tcPr>
            <w:tcW w:w="4820" w:type="dxa"/>
            <w:shd w:val="clear" w:color="auto" w:fill="auto"/>
          </w:tcPr>
          <w:p w14:paraId="153A9A4F" w14:textId="33BA37B9" w:rsidR="00E77C65" w:rsidRPr="00134833" w:rsidRDefault="0073793F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Strong understanding of pricing and the variables that influence it, including raw material markets and matrix values</w:t>
            </w:r>
          </w:p>
        </w:tc>
      </w:tr>
      <w:tr w:rsidR="00134833" w:rsidRPr="00134833" w14:paraId="68C5B36D" w14:textId="77777777" w:rsidTr="00F87D82">
        <w:tc>
          <w:tcPr>
            <w:tcW w:w="4820" w:type="dxa"/>
            <w:gridSpan w:val="2"/>
            <w:shd w:val="clear" w:color="auto" w:fill="auto"/>
          </w:tcPr>
          <w:p w14:paraId="6E1D05C6" w14:textId="6D0FB3A3" w:rsidR="00E77C65" w:rsidRPr="00134833" w:rsidRDefault="00081D58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lastRenderedPageBreak/>
              <w:t>Experience of developing functional and cross functional expertise</w:t>
            </w:r>
          </w:p>
        </w:tc>
        <w:tc>
          <w:tcPr>
            <w:tcW w:w="4820" w:type="dxa"/>
            <w:shd w:val="clear" w:color="auto" w:fill="auto"/>
          </w:tcPr>
          <w:p w14:paraId="6A736A66" w14:textId="4F9B090F" w:rsidR="00E77C65" w:rsidRPr="00134833" w:rsidRDefault="0085257F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Understanding of the partnerships and alliances required to deliver EBIT growth in the monogastric sector</w:t>
            </w:r>
          </w:p>
        </w:tc>
      </w:tr>
      <w:tr w:rsidR="00134833" w:rsidRPr="00134833" w14:paraId="668D0702" w14:textId="77777777" w:rsidTr="00F87D82">
        <w:tc>
          <w:tcPr>
            <w:tcW w:w="4820" w:type="dxa"/>
            <w:gridSpan w:val="2"/>
            <w:shd w:val="clear" w:color="auto" w:fill="auto"/>
          </w:tcPr>
          <w:p w14:paraId="79E735CC" w14:textId="3DE53AAE" w:rsidR="00851B5F" w:rsidRPr="00134833" w:rsidRDefault="00E52AD2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Successfully completed the Feed Adviser Register (FAR) modules </w:t>
            </w:r>
            <w:r w:rsidR="00147AC3" w:rsidRPr="00134833">
              <w:rPr>
                <w:rFonts w:ascii="Avenir Next LT Pro" w:hAnsi="Avenir Next LT Pro"/>
                <w:sz w:val="24"/>
                <w:szCs w:val="24"/>
              </w:rPr>
              <w:t xml:space="preserve">or be prepared to complete it in the </w:t>
            </w:r>
            <w:r w:rsidR="001B1D70" w:rsidRPr="00134833">
              <w:rPr>
                <w:rFonts w:ascii="Avenir Next LT Pro" w:hAnsi="Avenir Next LT Pro"/>
                <w:sz w:val="24"/>
                <w:szCs w:val="24"/>
              </w:rPr>
              <w:t>next 12mths</w:t>
            </w:r>
          </w:p>
        </w:tc>
        <w:tc>
          <w:tcPr>
            <w:tcW w:w="4820" w:type="dxa"/>
            <w:shd w:val="clear" w:color="auto" w:fill="auto"/>
          </w:tcPr>
          <w:p w14:paraId="3607DBEE" w14:textId="5BB56476" w:rsidR="00851B5F" w:rsidRPr="00134833" w:rsidRDefault="00177A91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Demonstrates solid application of the Commercial Sales Competencies as set out in the </w:t>
            </w:r>
            <w:r w:rsidR="00F837C1" w:rsidRPr="00134833">
              <w:rPr>
                <w:rFonts w:ascii="Avenir Next LT Pro" w:hAnsi="Avenir Next LT Pro"/>
                <w:sz w:val="24"/>
                <w:szCs w:val="24"/>
              </w:rPr>
              <w:t>Competent plus</w:t>
            </w:r>
            <w:r w:rsidRPr="00134833">
              <w:rPr>
                <w:rFonts w:ascii="Avenir Next LT Pro" w:hAnsi="Avenir Next LT Pro"/>
                <w:sz w:val="24"/>
                <w:szCs w:val="24"/>
              </w:rPr>
              <w:t xml:space="preserve"> category</w:t>
            </w:r>
          </w:p>
        </w:tc>
      </w:tr>
      <w:tr w:rsidR="00134833" w:rsidRPr="00134833" w14:paraId="674852CE" w14:textId="77777777" w:rsidTr="00F87D82">
        <w:tc>
          <w:tcPr>
            <w:tcW w:w="4820" w:type="dxa"/>
            <w:gridSpan w:val="2"/>
            <w:shd w:val="clear" w:color="auto" w:fill="auto"/>
          </w:tcPr>
          <w:p w14:paraId="673EE58E" w14:textId="7C827F5D" w:rsidR="00851B5F" w:rsidRPr="00134833" w:rsidRDefault="00ED7A8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Basic IT skills, particularly in the use of Excel spreadsheets</w:t>
            </w:r>
          </w:p>
        </w:tc>
        <w:tc>
          <w:tcPr>
            <w:tcW w:w="4820" w:type="dxa"/>
            <w:shd w:val="clear" w:color="auto" w:fill="auto"/>
          </w:tcPr>
          <w:p w14:paraId="72F9769D" w14:textId="77777777" w:rsidR="00851B5F" w:rsidRPr="00134833" w:rsidRDefault="00851B5F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34833" w:rsidRPr="00134833" w14:paraId="19EE2AF4" w14:textId="77777777" w:rsidTr="00077587">
        <w:tc>
          <w:tcPr>
            <w:tcW w:w="2320" w:type="dxa"/>
          </w:tcPr>
          <w:p w14:paraId="3E08EDAB" w14:textId="13B7018D" w:rsidR="00A12E4B" w:rsidRPr="00134833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134833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28DBA84F" w14:textId="5B383E06" w:rsidR="00883D91" w:rsidRPr="00134833" w:rsidRDefault="00BB2725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134833">
              <w:rPr>
                <w:rFonts w:ascii="Avenir Next LT Pro" w:eastAsia="Times New Roman" w:hAnsi="Avenir Next LT Pro"/>
                <w:sz w:val="24"/>
                <w:szCs w:val="24"/>
              </w:rPr>
              <w:t>Some</w:t>
            </w:r>
            <w:r w:rsidR="00883D91" w:rsidRPr="00134833">
              <w:rPr>
                <w:rFonts w:ascii="Avenir Next LT Pro" w:eastAsia="Times New Roman" w:hAnsi="Avenir Next LT Pro"/>
                <w:sz w:val="24"/>
                <w:szCs w:val="24"/>
              </w:rPr>
              <w:t xml:space="preserve"> leadership skills with the ability to foster influential relationships at all levels, both internally and externally.</w:t>
            </w:r>
          </w:p>
          <w:p w14:paraId="0DD49CE5" w14:textId="77777777" w:rsidR="00883D91" w:rsidRPr="0013483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134833">
              <w:rPr>
                <w:rFonts w:ascii="Avenir Next LT Pro" w:eastAsia="Times New Roman" w:hAnsi="Avenir Next LT Pro"/>
                <w:sz w:val="24"/>
                <w:szCs w:val="24"/>
              </w:rPr>
              <w:t xml:space="preserve">Excellent communication, interpersonal and presentation skills with the ability to sell concepts in a compelling way at all levels up to MD. </w:t>
            </w:r>
          </w:p>
          <w:p w14:paraId="3093A787" w14:textId="77777777" w:rsidR="00883D91" w:rsidRPr="0013483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134833">
              <w:rPr>
                <w:rFonts w:ascii="Avenir Next LT Pro" w:eastAsia="Times New Roman" w:hAnsi="Avenir Next LT Pro"/>
                <w:sz w:val="24"/>
                <w:szCs w:val="24"/>
              </w:rPr>
              <w:t xml:space="preserve">Solid understanding of business drivers with the ability to translate that knowledge to cohesive plans. </w:t>
            </w:r>
          </w:p>
          <w:p w14:paraId="39A80E34" w14:textId="77777777" w:rsidR="00883D91" w:rsidRPr="0013483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134833">
              <w:rPr>
                <w:rFonts w:ascii="Avenir Next LT Pro" w:eastAsia="Times New Roman" w:hAnsi="Avenir Next LT Pro"/>
                <w:sz w:val="24"/>
                <w:szCs w:val="24"/>
              </w:rPr>
              <w:t>Commitment to drive performance and risk management to optimise business delivery.</w:t>
            </w:r>
          </w:p>
          <w:p w14:paraId="7F35B448" w14:textId="14E69CD6" w:rsidR="00883D91" w:rsidRPr="00134833" w:rsidRDefault="00BB2725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134833">
              <w:rPr>
                <w:rFonts w:ascii="Avenir Next LT Pro" w:eastAsia="Times New Roman" w:hAnsi="Avenir Next LT Pro"/>
                <w:sz w:val="24"/>
                <w:szCs w:val="24"/>
              </w:rPr>
              <w:t>Good</w:t>
            </w:r>
            <w:r w:rsidR="00883D91" w:rsidRPr="00134833">
              <w:rPr>
                <w:rFonts w:ascii="Avenir Next LT Pro" w:eastAsia="Times New Roman" w:hAnsi="Avenir Next LT Pro"/>
                <w:sz w:val="24"/>
                <w:szCs w:val="24"/>
              </w:rPr>
              <w:t xml:space="preserve"> commercial and financial acumen with the ability to prioritise business focus and resources.</w:t>
            </w:r>
          </w:p>
          <w:p w14:paraId="4A5234BA" w14:textId="77777777" w:rsidR="00883D91" w:rsidRPr="0013483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134833">
              <w:rPr>
                <w:rFonts w:ascii="Avenir Next LT Pro" w:eastAsia="Times New Roman" w:hAnsi="Avenir Next LT Pro"/>
                <w:sz w:val="24"/>
                <w:szCs w:val="24"/>
              </w:rPr>
              <w:t xml:space="preserve">Willingness to challenge with clarity and insight. </w:t>
            </w:r>
          </w:p>
          <w:p w14:paraId="1C2AA4A2" w14:textId="77777777" w:rsidR="00883D91" w:rsidRPr="0013483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134833">
              <w:rPr>
                <w:rFonts w:ascii="Avenir Next LT Pro" w:eastAsia="Times New Roman" w:hAnsi="Avenir Next LT Pro"/>
                <w:sz w:val="24"/>
                <w:szCs w:val="24"/>
              </w:rPr>
              <w:t>Well-developed analytical and problem-solving skills.</w:t>
            </w:r>
          </w:p>
          <w:p w14:paraId="6DF8A739" w14:textId="77777777" w:rsidR="00883D91" w:rsidRPr="0013483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134833">
              <w:rPr>
                <w:rFonts w:ascii="Avenir Next LT Pro" w:eastAsia="Times New Roman" w:hAnsi="Avenir Next LT Pro"/>
                <w:sz w:val="24"/>
                <w:szCs w:val="24"/>
              </w:rPr>
              <w:t>Ability to lead cross functional initiatives that support the delivery of wider Compounds business goals.</w:t>
            </w:r>
          </w:p>
          <w:p w14:paraId="77341C5B" w14:textId="77777777" w:rsidR="00883D91" w:rsidRPr="0013483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134833">
              <w:rPr>
                <w:rFonts w:ascii="Avenir Next LT Pro" w:eastAsia="Times New Roman" w:hAnsi="Avenir Next LT Pro"/>
                <w:sz w:val="24"/>
                <w:szCs w:val="24"/>
              </w:rPr>
              <w:t>Willingness to support the positive management of complaints to ensure that a resolution is reached by following internal procedures.</w:t>
            </w:r>
          </w:p>
          <w:p w14:paraId="01E06E25" w14:textId="5BB198EA" w:rsidR="00A12E4B" w:rsidRPr="00134833" w:rsidRDefault="00883D91" w:rsidP="00883D91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sz w:val="24"/>
                <w:szCs w:val="24"/>
              </w:rPr>
              <w:t>Commitment to advocate and embed the ABN culture.</w:t>
            </w:r>
          </w:p>
        </w:tc>
      </w:tr>
      <w:tr w:rsidR="00134833" w:rsidRPr="00134833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A12E4B" w:rsidRPr="00134833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134833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Other Factors</w:t>
            </w:r>
          </w:p>
          <w:p w14:paraId="56ADABEE" w14:textId="3F42CA93" w:rsidR="00A12E4B" w:rsidRPr="00134833" w:rsidRDefault="00A12E4B" w:rsidP="005F75F2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34833">
              <w:rPr>
                <w:rFonts w:ascii="Avenir Next LT Pro" w:hAnsi="Avenir Next LT Pro"/>
                <w:bCs/>
              </w:rPr>
              <w:t>Trave</w:t>
            </w:r>
            <w:r w:rsidR="00E92205" w:rsidRPr="00134833">
              <w:rPr>
                <w:rFonts w:ascii="Avenir Next LT Pro" w:hAnsi="Avenir Next LT Pro"/>
                <w:bCs/>
              </w:rPr>
              <w:t>l</w:t>
            </w:r>
            <w:r w:rsidRPr="00134833">
              <w:rPr>
                <w:rFonts w:ascii="Avenir Next LT Pro" w:hAnsi="Avenir Next LT Pro"/>
                <w:bCs/>
              </w:rPr>
              <w:t>, shift pattern, working hours, Licence type etc.</w:t>
            </w:r>
          </w:p>
        </w:tc>
        <w:tc>
          <w:tcPr>
            <w:tcW w:w="7320" w:type="dxa"/>
            <w:gridSpan w:val="2"/>
          </w:tcPr>
          <w:p w14:paraId="6DE26EE2" w14:textId="77777777" w:rsidR="005E457C" w:rsidRPr="00134833" w:rsidRDefault="005E457C" w:rsidP="005E457C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rFonts w:ascii="Avenir Next LT Pro Demi" w:eastAsia="Times New Roman" w:hAnsi="Avenir Next LT Pro Demi"/>
                <w:b/>
                <w:bCs/>
                <w:sz w:val="24"/>
                <w:szCs w:val="24"/>
              </w:rPr>
            </w:pPr>
            <w:r w:rsidRPr="00134833">
              <w:rPr>
                <w:rFonts w:ascii="Avenir Next LT Pro" w:eastAsia="Times New Roman" w:hAnsi="Avenir Next LT Pro"/>
                <w:sz w:val="24"/>
                <w:szCs w:val="24"/>
              </w:rPr>
              <w:t>Full driving licence that permits driving in the UK.</w:t>
            </w:r>
          </w:p>
          <w:p w14:paraId="5FA9A984" w14:textId="22C4BF7A" w:rsidR="002F0AFE" w:rsidRPr="00134833" w:rsidRDefault="005E457C" w:rsidP="00AD6072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134833">
              <w:rPr>
                <w:rFonts w:ascii="Avenir Next LT Pro" w:eastAsia="Times New Roman" w:hAnsi="Avenir Next LT Pro"/>
                <w:sz w:val="24"/>
                <w:szCs w:val="24"/>
              </w:rPr>
              <w:t>The role will require variable working hours and national travel with overnight stays.</w:t>
            </w:r>
          </w:p>
        </w:tc>
      </w:tr>
    </w:tbl>
    <w:p w14:paraId="67EA9A6C" w14:textId="276F88A5" w:rsidR="00A12E4B" w:rsidRPr="00134833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D9D749" w14:textId="4C25184F" w:rsidR="00077587" w:rsidRPr="00134833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622743A" w14:textId="32D1B3A2" w:rsidR="00077587" w:rsidRPr="00134833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E50A2C" w14:textId="78493BC8" w:rsidR="00077587" w:rsidRPr="00134833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ABE6AEE" w14:textId="4618DA2B" w:rsidR="00077587" w:rsidRPr="00134833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68B18CFE" w14:textId="77207477" w:rsidR="00E92205" w:rsidRPr="00134833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  <w:r w:rsidRPr="00134833">
        <w:rPr>
          <w:rFonts w:ascii="Avenir Next LT Pro" w:hAnsi="Avenir Next LT Pro"/>
          <w:b/>
          <w:bCs/>
          <w:sz w:val="24"/>
          <w:szCs w:val="24"/>
        </w:rPr>
        <w:t xml:space="preserve">Please note that the footer in page 2 should only be on the last page of the document. If you go over 2 </w:t>
      </w:r>
      <w:r w:rsidR="00C308DF" w:rsidRPr="00134833">
        <w:rPr>
          <w:rFonts w:ascii="Avenir Next LT Pro" w:hAnsi="Avenir Next LT Pro"/>
          <w:b/>
          <w:bCs/>
          <w:sz w:val="24"/>
          <w:szCs w:val="24"/>
        </w:rPr>
        <w:t>pages,</w:t>
      </w:r>
      <w:r w:rsidRPr="00134833">
        <w:rPr>
          <w:rFonts w:ascii="Avenir Next LT Pro" w:hAnsi="Avenir Next LT Pro"/>
          <w:b/>
          <w:bCs/>
          <w:sz w:val="24"/>
          <w:szCs w:val="24"/>
        </w:rPr>
        <w:t xml:space="preserve"> please move the image from page 2 onto your last page. </w:t>
      </w:r>
    </w:p>
    <w:sectPr w:rsidR="00E92205" w:rsidRPr="00134833" w:rsidSect="000C30B4"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2E40" w14:textId="77777777" w:rsidR="001141BE" w:rsidRDefault="001141BE" w:rsidP="0020039E">
      <w:pPr>
        <w:spacing w:after="0" w:line="240" w:lineRule="auto"/>
      </w:pPr>
      <w:r>
        <w:separator/>
      </w:r>
    </w:p>
  </w:endnote>
  <w:endnote w:type="continuationSeparator" w:id="0">
    <w:p w14:paraId="749C9869" w14:textId="77777777" w:rsidR="001141BE" w:rsidRDefault="001141BE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8C30" w14:textId="2468BBE5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1AC3EEC"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27F6CEE2" wp14:editId="460D8EF3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43A7" w14:textId="77777777" w:rsidR="001141BE" w:rsidRDefault="001141BE" w:rsidP="0020039E">
      <w:pPr>
        <w:spacing w:after="0" w:line="240" w:lineRule="auto"/>
      </w:pPr>
      <w:r>
        <w:separator/>
      </w:r>
    </w:p>
  </w:footnote>
  <w:footnote w:type="continuationSeparator" w:id="0">
    <w:p w14:paraId="73CF29D6" w14:textId="77777777" w:rsidR="001141BE" w:rsidRDefault="001141BE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E444" w14:textId="5E1B8B64" w:rsidR="00C308DF" w:rsidRDefault="00C308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02"/>
    <w:multiLevelType w:val="hybridMultilevel"/>
    <w:tmpl w:val="BC3E384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21C77"/>
    <w:multiLevelType w:val="hybridMultilevel"/>
    <w:tmpl w:val="330E0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82C1B"/>
    <w:multiLevelType w:val="hybridMultilevel"/>
    <w:tmpl w:val="6C1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2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542839"/>
    <w:multiLevelType w:val="hybridMultilevel"/>
    <w:tmpl w:val="72580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6004742">
    <w:abstractNumId w:val="18"/>
  </w:num>
  <w:num w:numId="2" w16cid:durableId="1517424946">
    <w:abstractNumId w:val="27"/>
  </w:num>
  <w:num w:numId="3" w16cid:durableId="609245925">
    <w:abstractNumId w:val="5"/>
  </w:num>
  <w:num w:numId="4" w16cid:durableId="1822189727">
    <w:abstractNumId w:val="10"/>
  </w:num>
  <w:num w:numId="5" w16cid:durableId="1759054776">
    <w:abstractNumId w:val="24"/>
  </w:num>
  <w:num w:numId="6" w16cid:durableId="602222349">
    <w:abstractNumId w:val="6"/>
  </w:num>
  <w:num w:numId="7" w16cid:durableId="984697127">
    <w:abstractNumId w:val="22"/>
  </w:num>
  <w:num w:numId="8" w16cid:durableId="1103769425">
    <w:abstractNumId w:val="19"/>
  </w:num>
  <w:num w:numId="9" w16cid:durableId="1376739174">
    <w:abstractNumId w:val="7"/>
  </w:num>
  <w:num w:numId="10" w16cid:durableId="1858470076">
    <w:abstractNumId w:val="13"/>
  </w:num>
  <w:num w:numId="11" w16cid:durableId="2124767254">
    <w:abstractNumId w:val="25"/>
  </w:num>
  <w:num w:numId="12" w16cid:durableId="1133015001">
    <w:abstractNumId w:val="14"/>
  </w:num>
  <w:num w:numId="13" w16cid:durableId="1094864668">
    <w:abstractNumId w:val="15"/>
  </w:num>
  <w:num w:numId="14" w16cid:durableId="1833644499">
    <w:abstractNumId w:val="1"/>
  </w:num>
  <w:num w:numId="15" w16cid:durableId="1625698543">
    <w:abstractNumId w:val="8"/>
  </w:num>
  <w:num w:numId="16" w16cid:durableId="1840541574">
    <w:abstractNumId w:val="4"/>
  </w:num>
  <w:num w:numId="17" w16cid:durableId="1881042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16"/>
  </w:num>
  <w:num w:numId="19" w16cid:durableId="1162696557">
    <w:abstractNumId w:val="3"/>
  </w:num>
  <w:num w:numId="20" w16cid:durableId="109983875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26"/>
  </w:num>
  <w:num w:numId="22" w16cid:durableId="1601404175">
    <w:abstractNumId w:val="29"/>
  </w:num>
  <w:num w:numId="23" w16cid:durableId="1878420931">
    <w:abstractNumId w:val="0"/>
  </w:num>
  <w:num w:numId="24" w16cid:durableId="1078208396">
    <w:abstractNumId w:val="23"/>
  </w:num>
  <w:num w:numId="25" w16cid:durableId="1577665441">
    <w:abstractNumId w:val="21"/>
  </w:num>
  <w:num w:numId="26" w16cid:durableId="93477420">
    <w:abstractNumId w:val="30"/>
  </w:num>
  <w:num w:numId="27" w16cid:durableId="1646664576">
    <w:abstractNumId w:val="11"/>
  </w:num>
  <w:num w:numId="28" w16cid:durableId="2108303783">
    <w:abstractNumId w:val="17"/>
  </w:num>
  <w:num w:numId="29" w16cid:durableId="172574575">
    <w:abstractNumId w:val="12"/>
  </w:num>
  <w:num w:numId="30" w16cid:durableId="555052453">
    <w:abstractNumId w:val="9"/>
  </w:num>
  <w:num w:numId="31" w16cid:durableId="1919436567">
    <w:abstractNumId w:val="28"/>
  </w:num>
  <w:num w:numId="32" w16cid:durableId="32744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033BB"/>
    <w:rsid w:val="000310D8"/>
    <w:rsid w:val="00032D8E"/>
    <w:rsid w:val="00045F44"/>
    <w:rsid w:val="00046542"/>
    <w:rsid w:val="0005339F"/>
    <w:rsid w:val="00053DA6"/>
    <w:rsid w:val="00061A0A"/>
    <w:rsid w:val="00077587"/>
    <w:rsid w:val="00081D58"/>
    <w:rsid w:val="00094B4B"/>
    <w:rsid w:val="00095573"/>
    <w:rsid w:val="00096167"/>
    <w:rsid w:val="000A4F13"/>
    <w:rsid w:val="000B299D"/>
    <w:rsid w:val="000B41CE"/>
    <w:rsid w:val="000C06EA"/>
    <w:rsid w:val="000C30B4"/>
    <w:rsid w:val="000D035B"/>
    <w:rsid w:val="000D0D6F"/>
    <w:rsid w:val="000E3C91"/>
    <w:rsid w:val="000F2565"/>
    <w:rsid w:val="000F497B"/>
    <w:rsid w:val="00104D22"/>
    <w:rsid w:val="001141BE"/>
    <w:rsid w:val="0011534D"/>
    <w:rsid w:val="00123809"/>
    <w:rsid w:val="001342D2"/>
    <w:rsid w:val="00134833"/>
    <w:rsid w:val="001367F2"/>
    <w:rsid w:val="00137382"/>
    <w:rsid w:val="001443B1"/>
    <w:rsid w:val="00147AC3"/>
    <w:rsid w:val="00147B39"/>
    <w:rsid w:val="00163A3B"/>
    <w:rsid w:val="00175CFA"/>
    <w:rsid w:val="00177A91"/>
    <w:rsid w:val="00184DD9"/>
    <w:rsid w:val="001B1D70"/>
    <w:rsid w:val="001B613C"/>
    <w:rsid w:val="001B7B1C"/>
    <w:rsid w:val="0020039E"/>
    <w:rsid w:val="0020713A"/>
    <w:rsid w:val="0023163C"/>
    <w:rsid w:val="002401B5"/>
    <w:rsid w:val="00240F4B"/>
    <w:rsid w:val="00262924"/>
    <w:rsid w:val="002645D0"/>
    <w:rsid w:val="00272C79"/>
    <w:rsid w:val="00275D4C"/>
    <w:rsid w:val="00284A02"/>
    <w:rsid w:val="0029050E"/>
    <w:rsid w:val="002A788B"/>
    <w:rsid w:val="002C1664"/>
    <w:rsid w:val="002C2996"/>
    <w:rsid w:val="002D523D"/>
    <w:rsid w:val="002D7B18"/>
    <w:rsid w:val="002E4A25"/>
    <w:rsid w:val="002E5499"/>
    <w:rsid w:val="002F0AFE"/>
    <w:rsid w:val="00311C3C"/>
    <w:rsid w:val="0031475B"/>
    <w:rsid w:val="003267C8"/>
    <w:rsid w:val="00330827"/>
    <w:rsid w:val="003345B0"/>
    <w:rsid w:val="00341F5B"/>
    <w:rsid w:val="00375AAC"/>
    <w:rsid w:val="0038384D"/>
    <w:rsid w:val="00387A67"/>
    <w:rsid w:val="003967D7"/>
    <w:rsid w:val="003A1559"/>
    <w:rsid w:val="003B5BB9"/>
    <w:rsid w:val="003B6AC9"/>
    <w:rsid w:val="003B7128"/>
    <w:rsid w:val="003C0727"/>
    <w:rsid w:val="003D6A7A"/>
    <w:rsid w:val="003D73C4"/>
    <w:rsid w:val="003E0CA7"/>
    <w:rsid w:val="003F5364"/>
    <w:rsid w:val="00406856"/>
    <w:rsid w:val="0040764A"/>
    <w:rsid w:val="004107AD"/>
    <w:rsid w:val="0042148A"/>
    <w:rsid w:val="0042170F"/>
    <w:rsid w:val="0042559A"/>
    <w:rsid w:val="0043565A"/>
    <w:rsid w:val="00453CB9"/>
    <w:rsid w:val="004701B9"/>
    <w:rsid w:val="00475B1C"/>
    <w:rsid w:val="00481BD4"/>
    <w:rsid w:val="004848CC"/>
    <w:rsid w:val="004A3DBD"/>
    <w:rsid w:val="004B7B2E"/>
    <w:rsid w:val="004C7982"/>
    <w:rsid w:val="004D73BF"/>
    <w:rsid w:val="00501786"/>
    <w:rsid w:val="00512F47"/>
    <w:rsid w:val="00523401"/>
    <w:rsid w:val="00523710"/>
    <w:rsid w:val="00532483"/>
    <w:rsid w:val="0054091B"/>
    <w:rsid w:val="00544959"/>
    <w:rsid w:val="005534E5"/>
    <w:rsid w:val="00554CD7"/>
    <w:rsid w:val="00561242"/>
    <w:rsid w:val="005728B1"/>
    <w:rsid w:val="005A25B5"/>
    <w:rsid w:val="005C027A"/>
    <w:rsid w:val="005C5DB2"/>
    <w:rsid w:val="005D29B5"/>
    <w:rsid w:val="005E2AE1"/>
    <w:rsid w:val="005E457C"/>
    <w:rsid w:val="005E5258"/>
    <w:rsid w:val="005E6DF9"/>
    <w:rsid w:val="005F4646"/>
    <w:rsid w:val="005F75F2"/>
    <w:rsid w:val="00620764"/>
    <w:rsid w:val="00627169"/>
    <w:rsid w:val="00641315"/>
    <w:rsid w:val="00667B3B"/>
    <w:rsid w:val="00677007"/>
    <w:rsid w:val="00683737"/>
    <w:rsid w:val="006D14B9"/>
    <w:rsid w:val="006D2B6F"/>
    <w:rsid w:val="006D7437"/>
    <w:rsid w:val="00703565"/>
    <w:rsid w:val="007233EE"/>
    <w:rsid w:val="00726986"/>
    <w:rsid w:val="00727AD7"/>
    <w:rsid w:val="0073793F"/>
    <w:rsid w:val="00740583"/>
    <w:rsid w:val="00763EE8"/>
    <w:rsid w:val="007649ED"/>
    <w:rsid w:val="00775B82"/>
    <w:rsid w:val="00790C62"/>
    <w:rsid w:val="00791719"/>
    <w:rsid w:val="007975AA"/>
    <w:rsid w:val="007B3BDE"/>
    <w:rsid w:val="007D2251"/>
    <w:rsid w:val="007E70B7"/>
    <w:rsid w:val="007F518D"/>
    <w:rsid w:val="008219D7"/>
    <w:rsid w:val="008225B3"/>
    <w:rsid w:val="00824371"/>
    <w:rsid w:val="00835D18"/>
    <w:rsid w:val="00851B5F"/>
    <w:rsid w:val="0085257F"/>
    <w:rsid w:val="00856D19"/>
    <w:rsid w:val="008639BD"/>
    <w:rsid w:val="008837AB"/>
    <w:rsid w:val="00883D91"/>
    <w:rsid w:val="00893582"/>
    <w:rsid w:val="008A66C9"/>
    <w:rsid w:val="008B01A3"/>
    <w:rsid w:val="008C57B4"/>
    <w:rsid w:val="008C6099"/>
    <w:rsid w:val="008E1C4B"/>
    <w:rsid w:val="008F0673"/>
    <w:rsid w:val="008F33DF"/>
    <w:rsid w:val="009019E7"/>
    <w:rsid w:val="0091648F"/>
    <w:rsid w:val="009426E6"/>
    <w:rsid w:val="00950BFE"/>
    <w:rsid w:val="009518E8"/>
    <w:rsid w:val="00965975"/>
    <w:rsid w:val="00965EBE"/>
    <w:rsid w:val="00975609"/>
    <w:rsid w:val="00986DA1"/>
    <w:rsid w:val="00992475"/>
    <w:rsid w:val="009D4E27"/>
    <w:rsid w:val="009E154F"/>
    <w:rsid w:val="009E63C1"/>
    <w:rsid w:val="009F3689"/>
    <w:rsid w:val="00A037AB"/>
    <w:rsid w:val="00A042BA"/>
    <w:rsid w:val="00A123FE"/>
    <w:rsid w:val="00A1256F"/>
    <w:rsid w:val="00A12E4B"/>
    <w:rsid w:val="00A13974"/>
    <w:rsid w:val="00A26056"/>
    <w:rsid w:val="00A304EC"/>
    <w:rsid w:val="00A313AB"/>
    <w:rsid w:val="00A42BB2"/>
    <w:rsid w:val="00A44470"/>
    <w:rsid w:val="00A445A9"/>
    <w:rsid w:val="00A566BF"/>
    <w:rsid w:val="00A60D75"/>
    <w:rsid w:val="00A667B7"/>
    <w:rsid w:val="00A726EE"/>
    <w:rsid w:val="00A858AA"/>
    <w:rsid w:val="00A957AF"/>
    <w:rsid w:val="00AA4877"/>
    <w:rsid w:val="00AA4878"/>
    <w:rsid w:val="00AA4AB8"/>
    <w:rsid w:val="00AC3376"/>
    <w:rsid w:val="00AD6072"/>
    <w:rsid w:val="00AD6710"/>
    <w:rsid w:val="00AE467B"/>
    <w:rsid w:val="00B015BB"/>
    <w:rsid w:val="00B12695"/>
    <w:rsid w:val="00B22416"/>
    <w:rsid w:val="00B30736"/>
    <w:rsid w:val="00B51E12"/>
    <w:rsid w:val="00B553D6"/>
    <w:rsid w:val="00B727C4"/>
    <w:rsid w:val="00B94C5F"/>
    <w:rsid w:val="00B96573"/>
    <w:rsid w:val="00BB2725"/>
    <w:rsid w:val="00BC2769"/>
    <w:rsid w:val="00BD4453"/>
    <w:rsid w:val="00BD4520"/>
    <w:rsid w:val="00BD6430"/>
    <w:rsid w:val="00C04F3C"/>
    <w:rsid w:val="00C14B01"/>
    <w:rsid w:val="00C308DF"/>
    <w:rsid w:val="00C3631F"/>
    <w:rsid w:val="00C4670C"/>
    <w:rsid w:val="00C5185E"/>
    <w:rsid w:val="00C52781"/>
    <w:rsid w:val="00C5301C"/>
    <w:rsid w:val="00C54DCB"/>
    <w:rsid w:val="00C62062"/>
    <w:rsid w:val="00C701BD"/>
    <w:rsid w:val="00C70603"/>
    <w:rsid w:val="00C807F8"/>
    <w:rsid w:val="00C837AD"/>
    <w:rsid w:val="00C91CBE"/>
    <w:rsid w:val="00C97652"/>
    <w:rsid w:val="00CA74FF"/>
    <w:rsid w:val="00CB0EF0"/>
    <w:rsid w:val="00CE4BA3"/>
    <w:rsid w:val="00CE7532"/>
    <w:rsid w:val="00CF55AB"/>
    <w:rsid w:val="00D13D7A"/>
    <w:rsid w:val="00D1405C"/>
    <w:rsid w:val="00D14DC7"/>
    <w:rsid w:val="00D156DE"/>
    <w:rsid w:val="00D266DC"/>
    <w:rsid w:val="00D27CC1"/>
    <w:rsid w:val="00D316C4"/>
    <w:rsid w:val="00D451E0"/>
    <w:rsid w:val="00D4624F"/>
    <w:rsid w:val="00D533FD"/>
    <w:rsid w:val="00D82CD5"/>
    <w:rsid w:val="00D92C92"/>
    <w:rsid w:val="00DF3583"/>
    <w:rsid w:val="00E041B8"/>
    <w:rsid w:val="00E12102"/>
    <w:rsid w:val="00E16EFF"/>
    <w:rsid w:val="00E2057F"/>
    <w:rsid w:val="00E248D8"/>
    <w:rsid w:val="00E2658C"/>
    <w:rsid w:val="00E35F11"/>
    <w:rsid w:val="00E364E8"/>
    <w:rsid w:val="00E41F22"/>
    <w:rsid w:val="00E52AD2"/>
    <w:rsid w:val="00E54C27"/>
    <w:rsid w:val="00E636CC"/>
    <w:rsid w:val="00E64450"/>
    <w:rsid w:val="00E714A7"/>
    <w:rsid w:val="00E72E73"/>
    <w:rsid w:val="00E77C65"/>
    <w:rsid w:val="00E80774"/>
    <w:rsid w:val="00E90873"/>
    <w:rsid w:val="00E92205"/>
    <w:rsid w:val="00E95BC2"/>
    <w:rsid w:val="00EB729B"/>
    <w:rsid w:val="00EC7D3D"/>
    <w:rsid w:val="00ED7A8B"/>
    <w:rsid w:val="00EE224C"/>
    <w:rsid w:val="00EE35A9"/>
    <w:rsid w:val="00F0176F"/>
    <w:rsid w:val="00F13925"/>
    <w:rsid w:val="00F14821"/>
    <w:rsid w:val="00F260C5"/>
    <w:rsid w:val="00F35777"/>
    <w:rsid w:val="00F5159F"/>
    <w:rsid w:val="00F51EFF"/>
    <w:rsid w:val="00F53C32"/>
    <w:rsid w:val="00F62EF9"/>
    <w:rsid w:val="00F80140"/>
    <w:rsid w:val="00F837C1"/>
    <w:rsid w:val="00F87D82"/>
    <w:rsid w:val="00FA62D6"/>
    <w:rsid w:val="00FC1CB4"/>
    <w:rsid w:val="00FE39A7"/>
    <w:rsid w:val="00FF2ADE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1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customXml/itemProps3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Birgit Scott</cp:lastModifiedBy>
  <cp:revision>2</cp:revision>
  <cp:lastPrinted>2015-08-11T09:10:00Z</cp:lastPrinted>
  <dcterms:created xsi:type="dcterms:W3CDTF">2025-01-30T08:36:00Z</dcterms:created>
  <dcterms:modified xsi:type="dcterms:W3CDTF">2025-01-30T08:36:00Z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